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 (Amendment No.</w:t>
        <w:tab/>
        <w:t>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pacing w:after="0" w:line="196" w:lineRule="exact"/>
        <w:tabs>
          <w:tab w:leader="none" w:pos="1880" w:val="left"/>
          <w:tab w:leader="none" w:pos="3480" w:val="left"/>
          <w:tab w:leader="none" w:pos="6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7"/>
          <w:szCs w:val="17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20" w:hanging="794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794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794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20" w:hanging="794"/>
        <w:spacing w:after="0"/>
        <w:tabs>
          <w:tab w:leader="none" w:pos="8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20" w:hanging="794"/>
        <w:spacing w:after="0"/>
        <w:tabs>
          <w:tab w:leader="none" w:pos="8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Kimberly-Clark Corporation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all boxes that apply):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540" w:hanging="514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540" w:hanging="514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3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40" w:hanging="514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243205</wp:posOffset>
            </wp:positionV>
            <wp:extent cx="6789420" cy="8778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243205</wp:posOffset>
            </wp:positionV>
            <wp:extent cx="6789420" cy="8778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2026-03-23T11:14:37Z</dcterms:created>
  <dcterms:modified xsi:type="dcterms:W3CDTF">2026-03-23T11:14:37Z</dcterms:modified>
</cp:coreProperties>
</file>