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MERLO LARRY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KIMBERLY CLARK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KMB</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Foreign Trading Symbol</w:t>
      </w:r>
    </w:p>
    <w:p>
      <w:pPr>
        <w:spacing w:after="0" w:line="24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P.O. BOX 619100</w:t>
            </w:r>
          </w:p>
        </w:tc>
        <w:tc>
          <w:tcPr>
            <w:tcW w:w="130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75261-9100</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7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8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right"/>
              <w:ind w:right="289"/>
              <w:spacing w:after="0"/>
              <w:rPr>
                <w:sz w:val="20"/>
                <w:szCs w:val="20"/>
                <w:color w:val="auto"/>
              </w:rPr>
            </w:pPr>
            <w:r>
              <w:rPr>
                <w:rFonts w:ascii="Times New Roman" w:cs="Times New Roman" w:eastAsia="Times New Roman" w:hAnsi="Times New Roman"/>
                <w:sz w:val="13"/>
                <w:szCs w:val="13"/>
                <w:color w:val="008000"/>
              </w:rPr>
              <w:t>(1)</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10,504</w:t>
            </w:r>
          </w:p>
        </w:tc>
        <w:tc>
          <w:tcPr>
            <w:tcW w:w="9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rPr>
              <w:t>0.0000</w:t>
            </w:r>
            <w:r>
              <w:rPr>
                <w:rFonts w:ascii="Times New Roman" w:cs="Times New Roman" w:eastAsia="Times New Roman" w:hAnsi="Times New Roman"/>
                <w:sz w:val="25"/>
                <w:szCs w:val="25"/>
                <w:color w:val="008000"/>
                <w:vertAlign w:val="superscript"/>
              </w:rPr>
              <w:t>(1)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left="40" w:right="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share units are payable on a 1-for-1 basis, granted under the Kimberly-Clark Corporation Outside Directors' Compensation Plan. Additional restricted share units are accrued based on dividends paid on the Corporation's common stock. The restricted share units may not be sold or transferred until the reporting person ceases to be a member of the Corporation's Board of Directors. The reported securities were received in respect of Kenvue Inc. deferred share units held at the time of the acquisition of Kenvue Inc. by the Issuer.</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poamerlo.txt</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Jeffrey S. McFall as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6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 Larry  11/03/2026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6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Merlo</w:t>
            </w: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96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2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6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0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0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left="240" w:firstLine="702"/>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Jeffrey S. McFall, Courtney Roane, Suzana Blades, Jeffrey P. Melucci and Tori</w:t>
      </w:r>
    </w:p>
    <w:p>
      <w:pPr>
        <w:spacing w:after="0" w:line="2" w:lineRule="exact"/>
        <w:rPr>
          <w:sz w:val="20"/>
          <w:szCs w:val="20"/>
          <w:color w:val="auto"/>
        </w:rPr>
      </w:pPr>
    </w:p>
    <w:p>
      <w:pPr>
        <w:ind w:left="240" w:right="820" w:hanging="233"/>
        <w:spacing w:after="0" w:line="238" w:lineRule="auto"/>
        <w:rPr>
          <w:sz w:val="20"/>
          <w:szCs w:val="20"/>
          <w:color w:val="auto"/>
        </w:rPr>
      </w:pPr>
      <w:r>
        <w:rPr>
          <w:rFonts w:ascii="Courier New" w:cs="Courier New" w:eastAsia="Courier New" w:hAnsi="Courier New"/>
          <w:sz w:val="20"/>
          <w:szCs w:val="20"/>
          <w:color w:val="auto"/>
        </w:rPr>
        <w:t>Grill signing singly and with full power of substitution and re-substitution, as the undersigned's true and lawful attorney-in-fact to:</w:t>
      </w:r>
    </w:p>
    <w:p>
      <w:pPr>
        <w:spacing w:after="0" w:line="1" w:lineRule="exact"/>
        <w:rPr>
          <w:sz w:val="20"/>
          <w:szCs w:val="20"/>
          <w:color w:val="auto"/>
        </w:rPr>
      </w:pPr>
    </w:p>
    <w:p>
      <w:pPr>
        <w:jc w:val="center"/>
        <w:ind w:right="820"/>
        <w:spacing w:after="0" w:line="264" w:lineRule="auto"/>
        <w:rPr>
          <w:sz w:val="20"/>
          <w:szCs w:val="20"/>
          <w:color w:val="auto"/>
        </w:rPr>
      </w:pPr>
      <w:r>
        <w:rPr>
          <w:rFonts w:ascii="Courier New" w:cs="Courier New" w:eastAsia="Courier New" w:hAnsi="Courier New"/>
          <w:sz w:val="18"/>
          <w:szCs w:val="18"/>
          <w:color w:val="auto"/>
        </w:rPr>
        <w:t>1. obtain credentials (including codes or passwords) enabling the undersigned to make electronic filings with the U.S. Securities and Exchange Commission (the "SEC"), including as necessary to prepare, execute in the undersigned's name and</w:t>
      </w:r>
    </w:p>
    <w:p>
      <w:pPr>
        <w:spacing w:after="0" w:line="2" w:lineRule="exact"/>
        <w:rPr>
          <w:sz w:val="20"/>
          <w:szCs w:val="20"/>
          <w:color w:val="auto"/>
        </w:rPr>
      </w:pPr>
    </w:p>
    <w:p>
      <w:pPr>
        <w:ind w:right="820" w:firstLine="234"/>
        <w:spacing w:after="0" w:line="264" w:lineRule="auto"/>
        <w:rPr>
          <w:sz w:val="20"/>
          <w:szCs w:val="20"/>
          <w:color w:val="auto"/>
        </w:rPr>
      </w:pPr>
      <w:r>
        <w:rPr>
          <w:rFonts w:ascii="Courier New" w:cs="Courier New" w:eastAsia="Courier New" w:hAnsi="Courier New"/>
          <w:sz w:val="18"/>
          <w:szCs w:val="18"/>
          <w:color w:val="auto"/>
        </w:rPr>
        <w:t>on the undersigned's behalf, and submit to the SEC a Form ID, including amendments thereto, and any other document necessary or appropriate to obtain codes or passwords enabling the undersigned to make electronic filings with the SEC via the Electronic Data Gathering and Retrieval ("EDGAR") system of reports required by the Securities Exchange Act of 1934, as amended (the "Exchange Act"), the Securities Act of 1933, as amended (the "Securities Act") or any rule</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20"/>
          <w:szCs w:val="20"/>
          <w:color w:val="auto"/>
        </w:rPr>
        <w:t>or regulation of the SEC;</w:t>
      </w:r>
    </w:p>
    <w:p>
      <w:pPr>
        <w:ind w:right="1160"/>
        <w:spacing w:after="0" w:line="238"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3" w:lineRule="exact"/>
        <w:rPr>
          <w:rFonts w:ascii="Courier New" w:cs="Courier New" w:eastAsia="Courier New" w:hAnsi="Courier New"/>
          <w:sz w:val="20"/>
          <w:szCs w:val="20"/>
          <w:color w:val="auto"/>
        </w:rPr>
      </w:pPr>
    </w:p>
    <w:p>
      <w:pPr>
        <w:ind w:right="1040"/>
        <w:spacing w:after="0" w:line="238"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director and/or officer of Kimberly-Clark Corporation (the "Company"), Forms 3, 4, and 5 in accordance with Section 16(a) of the Exchange Act and the rules thereunder, and Forms 144 in accordance with Rule 144 under Securities Act;</w:t>
      </w:r>
    </w:p>
    <w:p>
      <w:pPr>
        <w:spacing w:after="0" w:line="2" w:lineRule="exact"/>
        <w:rPr>
          <w:rFonts w:ascii="Courier New" w:cs="Courier New" w:eastAsia="Courier New" w:hAnsi="Courier New"/>
          <w:sz w:val="20"/>
          <w:szCs w:val="20"/>
          <w:color w:val="auto"/>
        </w:rPr>
      </w:pPr>
    </w:p>
    <w:p>
      <w:pPr>
        <w:jc w:val="both"/>
        <w:ind w:left="240" w:right="820" w:hanging="240"/>
        <w:spacing w:after="0" w:line="264" w:lineRule="auto"/>
        <w:tabs>
          <w:tab w:leader="none" w:pos="3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complete and execute any such Form 3, 4, or 5, or</w:t>
      </w:r>
    </w:p>
    <w:p>
      <w:pPr>
        <w:spacing w:after="0" w:line="2" w:lineRule="exact"/>
        <w:rPr>
          <w:sz w:val="20"/>
          <w:szCs w:val="20"/>
          <w:color w:val="auto"/>
        </w:rPr>
      </w:pPr>
    </w:p>
    <w:p>
      <w:pPr>
        <w:ind w:left="240" w:right="820"/>
        <w:spacing w:after="0" w:line="264" w:lineRule="auto"/>
        <w:rPr>
          <w:sz w:val="20"/>
          <w:szCs w:val="20"/>
          <w:color w:val="auto"/>
        </w:rPr>
      </w:pPr>
      <w:r>
        <w:rPr>
          <w:rFonts w:ascii="Courier New" w:cs="Courier New" w:eastAsia="Courier New" w:hAnsi="Courier New"/>
          <w:sz w:val="18"/>
          <w:szCs w:val="18"/>
          <w:color w:val="auto"/>
        </w:rPr>
        <w:t>Form 144, complete and execute any amendment or amendments thereto, and timely file such form with the SEC and any securities exchange or similar authority;</w:t>
      </w:r>
    </w:p>
    <w:p>
      <w:pPr>
        <w:spacing w:after="0"/>
        <w:rPr>
          <w:sz w:val="20"/>
          <w:szCs w:val="20"/>
          <w:color w:val="auto"/>
        </w:rPr>
      </w:pPr>
      <w:r>
        <w:rPr>
          <w:rFonts w:ascii="Courier New" w:cs="Courier New" w:eastAsia="Courier New" w:hAnsi="Courier New"/>
          <w:sz w:val="20"/>
          <w:szCs w:val="20"/>
          <w:color w:val="auto"/>
        </w:rPr>
        <w:t>and</w:t>
      </w:r>
    </w:p>
    <w:p>
      <w:pPr>
        <w:ind w:left="240" w:right="820" w:hanging="240"/>
        <w:spacing w:after="0" w:line="264" w:lineRule="auto"/>
        <w:tabs>
          <w:tab w:leader="none" w:pos="3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 in the</w:t>
      </w:r>
    </w:p>
    <w:p>
      <w:pPr>
        <w:spacing w:after="0" w:line="2" w:lineRule="exact"/>
        <w:rPr>
          <w:sz w:val="20"/>
          <w:szCs w:val="20"/>
          <w:color w:val="auto"/>
        </w:rPr>
      </w:pPr>
    </w:p>
    <w:p>
      <w:pPr>
        <w:ind w:right="1040"/>
        <w:spacing w:after="0" w:line="238" w:lineRule="auto"/>
        <w:rPr>
          <w:sz w:val="20"/>
          <w:szCs w:val="20"/>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 w:lineRule="exact"/>
        <w:rPr>
          <w:sz w:val="20"/>
          <w:szCs w:val="20"/>
          <w:color w:val="auto"/>
        </w:rPr>
      </w:pPr>
    </w:p>
    <w:p>
      <w:pPr>
        <w:ind w:right="5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w:t>
      </w:r>
    </w:p>
    <w:p>
      <w:pPr>
        <w:spacing w:after="0" w:line="3" w:lineRule="exact"/>
        <w:rPr>
          <w:sz w:val="20"/>
          <w:szCs w:val="20"/>
          <w:color w:val="auto"/>
        </w:rPr>
      </w:pPr>
    </w:p>
    <w:p>
      <w:pPr>
        <w:ind w:left="240" w:right="820"/>
        <w:spacing w:after="0" w:line="264" w:lineRule="auto"/>
        <w:rPr>
          <w:sz w:val="20"/>
          <w:szCs w:val="20"/>
          <w:color w:val="auto"/>
        </w:rPr>
      </w:pPr>
      <w:r>
        <w:rPr>
          <w:rFonts w:ascii="Courier New" w:cs="Courier New" w:eastAsia="Courier New" w:hAnsi="Courier New"/>
          <w:sz w:val="18"/>
          <w:szCs w:val="18"/>
          <w:color w:val="auto"/>
        </w:rPr>
        <w:t>could do if personally present, with full power of substitution or revocation, hereby ratifying and confirming all that each such attorney-in-fact, or such</w:t>
      </w:r>
    </w:p>
    <w:p>
      <w:pPr>
        <w:spacing w:after="0" w:line="2" w:lineRule="exact"/>
        <w:rPr>
          <w:sz w:val="20"/>
          <w:szCs w:val="20"/>
          <w:color w:val="auto"/>
        </w:rPr>
      </w:pPr>
    </w:p>
    <w:p>
      <w:pPr>
        <w:ind w:right="820"/>
        <w:spacing w:after="0" w:line="264" w:lineRule="auto"/>
        <w:rPr>
          <w:sz w:val="20"/>
          <w:szCs w:val="20"/>
          <w:color w:val="auto"/>
        </w:rPr>
      </w:pPr>
      <w:r>
        <w:rPr>
          <w:rFonts w:ascii="Courier New" w:cs="Courier New" w:eastAsia="Courier New" w:hAnsi="Courier New"/>
          <w:sz w:val="18"/>
          <w:szCs w:val="18"/>
          <w:color w:val="auto"/>
        </w:rPr>
        <w:t>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has been in effect at the time such action was taken. The undersigned acknowledges that each attorney-in-fact, in serving in such capacity at the request of the undersigned, is not assuming, nor is the Company assuming, any of</w:t>
      </w:r>
    </w:p>
    <w:p>
      <w:pPr>
        <w:spacing w:after="0" w:line="6" w:lineRule="exact"/>
        <w:rPr>
          <w:sz w:val="20"/>
          <w:szCs w:val="20"/>
          <w:color w:val="auto"/>
        </w:rPr>
      </w:pPr>
    </w:p>
    <w:p>
      <w:pPr>
        <w:ind w:right="820" w:firstLine="234"/>
        <w:spacing w:after="0" w:line="264" w:lineRule="auto"/>
        <w:rPr>
          <w:sz w:val="20"/>
          <w:szCs w:val="20"/>
          <w:color w:val="auto"/>
        </w:rPr>
      </w:pPr>
      <w:r>
        <w:rPr>
          <w:rFonts w:ascii="Courier New" w:cs="Courier New" w:eastAsia="Courier New" w:hAnsi="Courier New"/>
          <w:sz w:val="18"/>
          <w:szCs w:val="18"/>
          <w:color w:val="auto"/>
        </w:rPr>
        <w:t>the undersigned's responsibilities to comply with the requirements of the Exchange Act or Securities Act, including Section 16 of the Exchange Act or Rule</w:t>
      </w:r>
    </w:p>
    <w:p>
      <w:pPr>
        <w:ind w:left="240"/>
        <w:spacing w:after="0"/>
        <w:rPr>
          <w:sz w:val="20"/>
          <w:szCs w:val="20"/>
          <w:color w:val="auto"/>
        </w:rPr>
      </w:pPr>
      <w:r>
        <w:rPr>
          <w:rFonts w:ascii="Courier New" w:cs="Courier New" w:eastAsia="Courier New" w:hAnsi="Courier New"/>
          <w:sz w:val="20"/>
          <w:szCs w:val="20"/>
          <w:color w:val="auto"/>
        </w:rPr>
        <w:t>144 under the Securities Act;</w:t>
      </w:r>
    </w:p>
    <w:p>
      <w:pPr>
        <w:ind w:left="240" w:firstLine="702"/>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undersigned is no longer required to file Forms 3, 4, and 5</w:t>
      </w:r>
    </w:p>
    <w:p>
      <w:pPr>
        <w:spacing w:after="0" w:line="2" w:lineRule="exact"/>
        <w:rPr>
          <w:sz w:val="20"/>
          <w:szCs w:val="20"/>
          <w:color w:val="auto"/>
        </w:rPr>
      </w:pPr>
    </w:p>
    <w:p>
      <w:pPr>
        <w:ind w:right="820"/>
        <w:spacing w:after="0" w:line="264" w:lineRule="auto"/>
        <w:rPr>
          <w:sz w:val="20"/>
          <w:szCs w:val="20"/>
          <w:color w:val="auto"/>
        </w:rPr>
      </w:pPr>
      <w:r>
        <w:rPr>
          <w:rFonts w:ascii="Courier New" w:cs="Courier New" w:eastAsia="Courier New" w:hAnsi="Courier New"/>
          <w:sz w:val="18"/>
          <w:szCs w:val="18"/>
          <w:color w:val="auto"/>
        </w:rPr>
        <w:t>and Form 144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20"/>
          <w:szCs w:val="20"/>
          <w:color w:val="auto"/>
        </w:rPr>
        <w:t>by the Company or its subsidiaries.</w:t>
      </w:r>
    </w:p>
    <w:p>
      <w:pPr>
        <w:ind w:right="940" w:firstLine="1405"/>
        <w:spacing w:after="0" w:line="310" w:lineRule="auto"/>
        <w:rPr>
          <w:sz w:val="20"/>
          <w:szCs w:val="20"/>
          <w:color w:val="auto"/>
        </w:rPr>
      </w:pPr>
      <w:r>
        <w:rPr>
          <w:rFonts w:ascii="Courier New" w:cs="Courier New" w:eastAsia="Courier New" w:hAnsi="Courier New"/>
          <w:sz w:val="20"/>
          <w:szCs w:val="20"/>
          <w:color w:val="auto"/>
        </w:rPr>
        <w:t>IN WITNESS WHEREOF, I have hereunto set my hand effective this 20th day of October, 2026.</w:t>
      </w:r>
    </w:p>
    <w:p>
      <w:pPr>
        <w:spacing w:after="0" w:line="200" w:lineRule="exact"/>
        <w:rPr>
          <w:sz w:val="20"/>
          <w:szCs w:val="20"/>
          <w:color w:val="auto"/>
        </w:rPr>
      </w:pPr>
    </w:p>
    <w:p>
      <w:pPr>
        <w:spacing w:after="0" w:line="304"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___/s/ Larry J. Merlo___________</w:t>
      </w:r>
    </w:p>
    <w:p>
      <w:pPr>
        <w:spacing w:after="0" w:line="35" w:lineRule="exact"/>
        <w:rPr>
          <w:sz w:val="20"/>
          <w:szCs w:val="20"/>
          <w:color w:val="auto"/>
        </w:rPr>
      </w:pPr>
    </w:p>
    <w:p>
      <w:pPr>
        <w:ind w:left="8080"/>
        <w:spacing w:after="0"/>
        <w:rPr>
          <w:sz w:val="20"/>
          <w:szCs w:val="20"/>
          <w:color w:val="auto"/>
        </w:rPr>
      </w:pPr>
      <w:r>
        <w:rPr>
          <w:rFonts w:ascii="Courier New" w:cs="Courier New" w:eastAsia="Courier New" w:hAnsi="Courier New"/>
          <w:sz w:val="20"/>
          <w:szCs w:val="20"/>
          <w:color w:val="auto"/>
        </w:rPr>
        <w:t>Larry J. Merlo</w:t>
      </w:r>
    </w:p>
    <w:sectPr>
      <w:pgSz w:w="11900" w:h="16838" w:orient="portrait"/>
      <w:cols w:equalWidth="0" w:num="1">
        <w:col w:w="10180"/>
      </w:cols>
      <w:pgMar w:left="480" w:top="106" w:right="1239" w:bottom="59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94413" TargetMode="External"/><Relationship Id="rId11"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2026-11-04T14:46:14Z</dcterms:created>
  <dcterms:modified xsi:type="dcterms:W3CDTF">2026-11-04T14:46:14Z</dcterms:modified>
</cp:coreProperties>
</file>