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7048500" cy="615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158865"/>
                    </a:xfrm>
                    <a:prstGeom prst="rect">
                      <a:avLst/>
                    </a:prstGeom>
                    <a:noFill/>
                  </pic:spPr>
                </pic:pic>
              </a:graphicData>
            </a:graphic>
          </wp:anchor>
        </w:drawing>
      </w:r>
    </w:p>
    <w:p>
      <w:pPr>
        <w:spacing w:after="0" w:line="1027" w:lineRule="exact"/>
        <w:rPr>
          <w:sz w:val="24"/>
          <w:szCs w:val="24"/>
          <w:color w:val="auto"/>
        </w:rPr>
      </w:pPr>
    </w:p>
    <w:p>
      <w:pPr>
        <w:sectPr>
          <w:pgSz w:w="11900" w:h="16838" w:orient="portrait"/>
          <w:cols w:equalWidth="0" w:num="2">
            <w:col w:w="2320" w:space="360"/>
            <w:col w:w="8400"/>
          </w:cols>
          <w:pgMar w:left="460" w:top="214" w:right="359" w:bottom="1127"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2"/>
            <w:vMerge w:val="restart"/>
          </w:tcPr>
          <w:p>
            <w:pPr>
              <w:spacing w:after="0"/>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Melucci Jeffrey P.</w:t>
              </w:r>
            </w:hyperlink>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10"/>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KIMBERLY CLARK CORP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KMB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440" w:type="dxa"/>
            <w:vAlign w:val="bottom"/>
            <w:gridSpan w:val="2"/>
          </w:tcPr>
          <w:p>
            <w:pPr>
              <w:spacing w:after="0"/>
              <w:rPr>
                <w:sz w:val="5"/>
                <w:szCs w:val="5"/>
                <w:color w:val="auto"/>
              </w:rPr>
            </w:pPr>
          </w:p>
        </w:tc>
        <w:tc>
          <w:tcPr>
            <w:tcW w:w="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120"/>
              <w:spacing w:after="0" w:line="117"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740" w:type="dxa"/>
            <w:vAlign w:val="bottom"/>
            <w:tcBorders>
              <w:top w:val="single" w:sz="8" w:color="EEEEEE"/>
              <w:bottom w:val="single" w:sz="8" w:color="EEEEEE"/>
            </w:tcBorders>
            <w:gridSpan w:val="3"/>
            <w:vMerge w:val="restart"/>
          </w:tcPr>
          <w:p>
            <w:pPr>
              <w:ind w:left="520"/>
              <w:spacing w:after="0"/>
              <w:rPr>
                <w:sz w:val="20"/>
                <w:szCs w:val="20"/>
                <w:color w:val="auto"/>
              </w:rPr>
            </w:pPr>
            <w:r>
              <w:rPr>
                <w:rFonts w:ascii="Arial" w:cs="Arial" w:eastAsia="Arial" w:hAnsi="Arial"/>
                <w:sz w:val="12"/>
                <w:szCs w:val="12"/>
                <w:color w:val="auto"/>
              </w:rPr>
              <w:t>(First)</w:t>
            </w:r>
          </w:p>
        </w:tc>
        <w:tc>
          <w:tcPr>
            <w:tcW w:w="11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(Middle)</w:t>
            </w:r>
          </w:p>
        </w:tc>
        <w:tc>
          <w:tcPr>
            <w:tcW w:w="10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6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10"/>
            <w:vMerge w:val="continue"/>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6"/>
                <w:szCs w:val="16"/>
                <w:color w:val="0000FF"/>
              </w:rPr>
              <w:t>Chief Bus., Strat. &amp; Admin.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P.O. BOX 619100</w:t>
            </w: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0000FF"/>
              </w:rPr>
              <w:t>05/01/2026</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gridSpan w:val="6"/>
            <w:vMerge w:val="continue"/>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1"/>
            <w:vMerge w:val="restart"/>
          </w:tcPr>
          <w:p>
            <w:pPr>
              <w:jc w:val="center"/>
              <w:ind w:right="196"/>
              <w:spacing w:after="0"/>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7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960" w:type="dxa"/>
            <w:vAlign w:val="bottom"/>
          </w:tcPr>
          <w:p>
            <w:pPr>
              <w:spacing w:after="0"/>
              <w:rPr>
                <w:sz w:val="4"/>
                <w:szCs w:val="4"/>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75261-9100</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gridSpan w:val="11"/>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3"/>
            <w:vMerge w:val="restart"/>
          </w:tcPr>
          <w:p>
            <w:pPr>
              <w:ind w:left="52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gridSpan w:val="4"/>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0"/>
          </w:tcPr>
          <w:p>
            <w:pPr>
              <w:jc w:val="center"/>
              <w:ind w:left="5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00" w:type="dxa"/>
            <w:vAlign w:val="bottom"/>
            <w:gridSpan w:val="5"/>
          </w:tcPr>
          <w:p>
            <w:pPr>
              <w:ind w:left="7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rPr>
              <w:t>3.</w:t>
            </w:r>
          </w:p>
        </w:tc>
        <w:tc>
          <w:tcPr>
            <w:tcW w:w="260" w:type="dxa"/>
            <w:vAlign w:val="bottom"/>
          </w:tcPr>
          <w:p>
            <w:pPr>
              <w:spacing w:after="0"/>
              <w:rPr>
                <w:sz w:val="14"/>
                <w:szCs w:val="14"/>
                <w:color w:val="auto"/>
              </w:rPr>
            </w:pPr>
          </w:p>
        </w:tc>
        <w:tc>
          <w:tcPr>
            <w:tcW w:w="210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gridSpan w:val="5"/>
          </w:tcPr>
          <w:p>
            <w:pPr>
              <w:jc w:val="center"/>
              <w:ind w:left="532"/>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jc w:val="center"/>
              <w:ind w:right="104"/>
              <w:spacing w:after="0"/>
              <w:rPr>
                <w:sz w:val="20"/>
                <w:szCs w:val="20"/>
                <w:color w:val="auto"/>
              </w:rPr>
            </w:pPr>
            <w:r>
              <w:rPr>
                <w:rFonts w:ascii="Arial" w:cs="Arial" w:eastAsia="Arial" w:hAnsi="Arial"/>
                <w:sz w:val="11"/>
                <w:szCs w:val="11"/>
                <w:b w:val="1"/>
                <w:bCs w:val="1"/>
                <w:color w:val="auto"/>
              </w:rPr>
              <w:t>Code</w:t>
            </w: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8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4"/>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12"/>
                <w:szCs w:val="12"/>
                <w:color w:val="0000FF"/>
              </w:rPr>
              <w:t>M</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3"/>
              </w:rPr>
              <w:t>3,046</w:t>
            </w:r>
            <w:r>
              <w:rPr>
                <w:rFonts w:ascii="Times New Roman" w:cs="Times New Roman" w:eastAsia="Times New Roman" w:hAnsi="Times New Roman"/>
                <w:sz w:val="20"/>
                <w:szCs w:val="20"/>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3"/>
          </w:tcPr>
          <w:p>
            <w:pPr>
              <w:jc w:val="right"/>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63,795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12"/>
                <w:szCs w:val="12"/>
                <w:color w:val="0000FF"/>
              </w:rPr>
              <w:t>M</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3"/>
              </w:rPr>
              <w:t>3,004</w:t>
            </w:r>
            <w:r>
              <w:rPr>
                <w:rFonts w:ascii="Times New Roman" w:cs="Times New Roman" w:eastAsia="Times New Roman" w:hAnsi="Times New Roman"/>
                <w:sz w:val="20"/>
                <w:szCs w:val="20"/>
                <w:color w:val="008000"/>
                <w:w w:val="93"/>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tcBorders>
              <w:bottom w:val="single" w:sz="8" w:color="2C2C2C"/>
            </w:tcBorders>
            <w:gridSpan w:val="3"/>
          </w:tcPr>
          <w:p>
            <w:pPr>
              <w:jc w:val="right"/>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66,799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(3)</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1,183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65,616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5"/>
          </w:tcPr>
          <w:p>
            <w:pPr>
              <w:jc w:val="center"/>
              <w:ind w:left="532"/>
              <w:spacing w:after="0"/>
              <w:rPr>
                <w:sz w:val="20"/>
                <w:szCs w:val="20"/>
                <w:color w:val="auto"/>
              </w:rPr>
            </w:pPr>
            <w:r>
              <w:rPr>
                <w:rFonts w:ascii="Times New Roman" w:cs="Times New Roman" w:eastAsia="Times New Roman" w:hAnsi="Times New Roman"/>
                <w:sz w:val="16"/>
                <w:szCs w:val="16"/>
                <w:color w:val="0000FF"/>
              </w:rPr>
              <w:t>05/01/2026</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ind w:right="64"/>
              <w:spacing w:after="0"/>
              <w:rPr>
                <w:sz w:val="20"/>
                <w:szCs w:val="20"/>
                <w:color w:val="auto"/>
              </w:rPr>
            </w:pPr>
            <w:r>
              <w:rPr>
                <w:rFonts w:ascii="Times New Roman" w:cs="Times New Roman" w:eastAsia="Times New Roman" w:hAnsi="Times New Roman"/>
                <w:sz w:val="24"/>
                <w:szCs w:val="24"/>
                <w:color w:val="0000FF"/>
                <w:w w:val="97"/>
                <w:vertAlign w:val="subscript"/>
              </w:rPr>
              <w:t>F</w:t>
            </w:r>
            <w:r>
              <w:rPr>
                <w:rFonts w:ascii="Times New Roman" w:cs="Times New Roman" w:eastAsia="Times New Roman" w:hAnsi="Times New Roman"/>
                <w:sz w:val="10"/>
                <w:szCs w:val="10"/>
                <w:color w:val="008000"/>
                <w:w w:val="97"/>
              </w:rPr>
              <w:t>(3)</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1,199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D</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ind w:right="38"/>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64,417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9"/>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80" w:type="dxa"/>
            <w:vAlign w:val="bottom"/>
            <w:gridSpan w:val="18"/>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4"/>
          </w:tcPr>
          <w:p>
            <w:pPr>
              <w:ind w:left="18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60" w:type="dxa"/>
            <w:vAlign w:val="bottom"/>
            <w:gridSpan w:val="4"/>
          </w:tcPr>
          <w:p>
            <w:pPr>
              <w:ind w:left="18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60" w:type="dxa"/>
            <w:vAlign w:val="bottom"/>
            <w:gridSpan w:val="4"/>
          </w:tcPr>
          <w:p>
            <w:pPr>
              <w:ind w:left="18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w w:val="99"/>
              </w:rPr>
              <w:t>Acquired (A) or</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w w:val="98"/>
              </w:rPr>
              <w:t>Disposed of (D)</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1560" w:type="dxa"/>
            <w:vAlign w:val="bottom"/>
            <w:gridSpan w:val="4"/>
          </w:tcPr>
          <w:p>
            <w:pPr>
              <w:ind w:left="180"/>
              <w:spacing w:after="0"/>
              <w:rPr>
                <w:sz w:val="20"/>
                <w:szCs w:val="20"/>
                <w:color w:val="auto"/>
              </w:rPr>
            </w:pPr>
            <w:r>
              <w:rPr>
                <w:rFonts w:ascii="Arial" w:cs="Arial" w:eastAsia="Arial" w:hAnsi="Arial"/>
                <w:sz w:val="11"/>
                <w:szCs w:val="11"/>
                <w:b w:val="1"/>
                <w:bCs w:val="1"/>
                <w:color w:val="auto"/>
              </w:rPr>
              <w:t>Exercisable  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 Units</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3,004</w:t>
            </w:r>
            <w:r>
              <w:rPr>
                <w:rFonts w:ascii="Times New Roman" w:cs="Times New Roman" w:eastAsia="Times New Roman" w:hAnsi="Times New Roman"/>
                <w:sz w:val="20"/>
                <w:szCs w:val="20"/>
                <w:color w:val="008000"/>
                <w:vertAlign w:val="superscript"/>
              </w:rPr>
              <w:t>(1)</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3,004</w:t>
            </w:r>
          </w:p>
        </w:tc>
        <w:tc>
          <w:tcPr>
            <w:tcW w:w="6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color w:val="0000FF"/>
              </w:rPr>
              <w:t>5/01/2024</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4,006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20" w:type="dxa"/>
            <w:vAlign w:val="bottom"/>
            <w:gridSpan w:val="4"/>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(w/Dividends</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reinvested)</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 Units</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3,046</w:t>
            </w:r>
            <w:r>
              <w:rPr>
                <w:rFonts w:ascii="Times New Roman" w:cs="Times New Roman" w:eastAsia="Times New Roman" w:hAnsi="Times New Roman"/>
                <w:sz w:val="20"/>
                <w:szCs w:val="20"/>
                <w:color w:val="008000"/>
                <w:vertAlign w:val="superscript"/>
              </w:rPr>
              <w:t>(1)</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0"/>
                <w:szCs w:val="10"/>
                <w:color w:val="008000"/>
              </w:rPr>
              <w:t>(4)</w:t>
            </w: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3,046</w:t>
            </w:r>
          </w:p>
        </w:tc>
        <w:tc>
          <w:tcPr>
            <w:tcW w:w="6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color w:val="0000FF"/>
              </w:rPr>
              <w:t>5/01/2025</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7,109</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820" w:type="dxa"/>
            <w:vAlign w:val="bottom"/>
            <w:gridSpan w:val="4"/>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(w/dividends</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reinvested)</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 Units</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860" w:type="dxa"/>
            <w:vAlign w:val="bottom"/>
            <w:gridSpan w:val="2"/>
            <w:vMerge w:val="restart"/>
          </w:tcPr>
          <w:p>
            <w:pPr>
              <w:jc w:val="center"/>
              <w:ind w:left="115"/>
              <w:spacing w:after="0"/>
              <w:rPr>
                <w:sz w:val="20"/>
                <w:szCs w:val="20"/>
                <w:color w:val="auto"/>
              </w:rPr>
            </w:pPr>
            <w:r>
              <w:rPr>
                <w:rFonts w:ascii="Times New Roman" w:cs="Times New Roman" w:eastAsia="Times New Roman" w:hAnsi="Times New Roman"/>
                <w:sz w:val="10"/>
                <w:szCs w:val="10"/>
                <w:color w:val="008000"/>
              </w:rPr>
              <w:t>(4)</w:t>
            </w:r>
          </w:p>
        </w:tc>
        <w:tc>
          <w:tcPr>
            <w:tcW w:w="1240" w:type="dxa"/>
            <w:vAlign w:val="bottom"/>
            <w:gridSpan w:val="5"/>
            <w:vMerge w:val="restart"/>
          </w:tcPr>
          <w:p>
            <w:pPr>
              <w:ind w:left="80"/>
              <w:spacing w:after="0" w:line="274" w:lineRule="exact"/>
              <w:rPr>
                <w:sz w:val="20"/>
                <w:szCs w:val="20"/>
                <w:color w:val="auto"/>
              </w:rPr>
            </w:pPr>
            <w:r>
              <w:rPr>
                <w:rFonts w:ascii="Times New Roman" w:cs="Times New Roman" w:eastAsia="Times New Roman" w:hAnsi="Times New Roman"/>
                <w:sz w:val="12"/>
                <w:szCs w:val="12"/>
                <w:color w:val="0000FF"/>
              </w:rPr>
              <w:t xml:space="preserve">Common  </w:t>
            </w:r>
            <w:r>
              <w:rPr>
                <w:rFonts w:ascii="Times New Roman" w:cs="Times New Roman" w:eastAsia="Times New Roman" w:hAnsi="Times New Roman"/>
                <w:sz w:val="31"/>
                <w:szCs w:val="31"/>
                <w:color w:val="0000FF"/>
                <w:vertAlign w:val="subscript"/>
              </w:rPr>
              <w:t>13,924</w:t>
            </w:r>
          </w:p>
        </w:tc>
        <w:tc>
          <w:tcPr>
            <w:tcW w:w="640" w:type="dxa"/>
            <w:vAlign w:val="bottom"/>
            <w:vMerge w:val="restart"/>
          </w:tcPr>
          <w:p>
            <w:pP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82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0000FF"/>
              </w:rPr>
              <w:t>5/1/2026</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05/01/2026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A</w:t>
            </w:r>
          </w:p>
        </w:tc>
        <w:tc>
          <w:tcPr>
            <w:tcW w:w="18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13,924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40" w:type="dxa"/>
            <w:vAlign w:val="bottom"/>
            <w:gridSpan w:val="5"/>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13,924</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(w/dividends</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reinvested)</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restricted share units that have vested and are paid out in shares of common stock. Includes restricted share units which were accrued based on dividends paid on the Corporation's common stock.</w:t>
      </w:r>
    </w:p>
    <w:p>
      <w:pPr>
        <w:spacing w:after="0" w:line="48" w:lineRule="exact"/>
        <w:rPr>
          <w:rFonts w:ascii="Times New Roman" w:cs="Times New Roman" w:eastAsia="Times New Roman" w:hAnsi="Times New Roman"/>
          <w:sz w:val="12"/>
          <w:szCs w:val="12"/>
          <w:color w:val="008000"/>
        </w:rPr>
      </w:pPr>
    </w:p>
    <w:p>
      <w:pPr>
        <w:ind w:left="40" w:right="3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share units payable on a 1-for-1 basis, granted under the Kimberly-Clark Corporation Equity Participation Plan. Additional restricted share units are accrued based on dividends paid on the Corporation's common stock.</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transaction represents the automatic surrender of shares to the issuer upon vesting of restricted shares units to satisfy the reporting person's tax withholding obligations.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share units vest 30 percent on each of the first and second anniversaries of the grant date and the remaining 40 percent on the third anniversary of the grant date.</w:t>
      </w:r>
    </w:p>
    <w:p>
      <w:pPr>
        <w:ind w:left="6600"/>
        <w:spacing w:after="0" w:line="190" w:lineRule="auto"/>
        <w:rPr>
          <w:sz w:val="20"/>
          <w:szCs w:val="20"/>
          <w:color w:val="auto"/>
        </w:rPr>
      </w:pPr>
      <w:r>
        <w:rPr>
          <w:rFonts w:ascii="Times New Roman" w:cs="Times New Roman" w:eastAsia="Times New Roman" w:hAnsi="Times New Roman"/>
          <w:sz w:val="16"/>
          <w:szCs w:val="16"/>
          <w:color w:val="0000FF"/>
        </w:rPr>
        <w:t xml:space="preserve">Jeffrey S. McFall as attorney-in- </w:t>
      </w:r>
      <w:r>
        <w:rPr>
          <w:rFonts w:ascii="Times New Roman" w:cs="Times New Roman" w:eastAsia="Times New Roman" w:hAnsi="Times New Roman"/>
          <w:sz w:val="32"/>
          <w:szCs w:val="32"/>
          <w:color w:val="0000FF"/>
          <w:vertAlign w:val="subscript"/>
        </w:rPr>
        <w:t>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79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Jeffrey P. Melucci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-16510</wp:posOffset>
            </wp:positionV>
            <wp:extent cx="1069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934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-80010</wp:posOffset>
            </wp:positionV>
            <wp:extent cx="4686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1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2554"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2026-05-04T15:09:50Z</dcterms:created>
  <dcterms:modified xsi:type="dcterms:W3CDTF">2026-05-04T15:09:50Z</dcterms:modified>
</cp:coreProperties>
</file>