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UNITED STATES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SECURITIES AND EXCHANGE COMMISSION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color w:val="000000"/>
          <w:sz w:val="32"/>
        </w:rPr>
      </w:pPr>
      <w:r>
        <w:rPr>
          <w:rFonts w:ascii="Arial;sans-serif" w:hAnsi="Arial;sans-serif"/>
          <w:b/>
          <w:color w:val="000000"/>
          <w:sz w:val="32"/>
        </w:rPr>
        <w:t>FORM 8-K</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CURRENT REPORT</w:t>
      </w:r>
    </w:p>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Pursuant to Section 13 or 15(d) of the Securities Exchange Act of 1934</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 xml:space="preserve">Date of Report: May 1, 2026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(Date of earliest event reported)</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drawing>
          <wp:inline distT="0" distB="0" distL="0" distR="0">
            <wp:extent cx="381952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9525" cy="495300"/>
                    </a:xfrm>
                    <a:prstGeom prst="rect">
                      <a:avLst/>
                    </a:prstGeom>
                  </pic:spPr>
                </pic:pic>
              </a:graphicData>
            </a:graphic>
          </wp:inline>
        </w:drawing>
      </w:r>
      <w:bookmarkStart w:id="0" w:name="i-1"/>
      <w:bookmarkEnd w:id="0"/>
    </w:p>
    <w:p>
      <w:pPr>
        <w:pStyle w:val="TextBody"/>
        <w:bidi w:val="0"/>
        <w:spacing w:before="60" w:after="283"/>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KIMBERLY-CLARK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(Exact name of registrant as specified in its charter)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327" w:type="dxa"/>
        <w:jc w:val="center"/>
        <w:tblInd w:w="0" w:type="dxa"/>
        <w:tblLayout w:type="fixed"/>
        <w:tblCellMar>
          <w:top w:w="28" w:type="dxa"/>
          <w:left w:w="28" w:type="dxa"/>
          <w:bottom w:w="28" w:type="dxa"/>
          <w:right w:w="28" w:type="dxa"/>
        </w:tblCellMar>
      </w:tblPr>
      <w:tblGrid>
        <w:gridCol w:w="1377"/>
        <w:gridCol w:w="1210"/>
        <w:gridCol w:w="1222"/>
        <w:gridCol w:w="772"/>
        <w:gridCol w:w="772"/>
        <w:gridCol w:w="780"/>
        <w:gridCol w:w="932"/>
        <w:gridCol w:w="932"/>
        <w:gridCol w:w="1330"/>
      </w:tblGrid>
      <w:tr>
        <w:trPr/>
        <w:tc>
          <w:tcPr>
            <w:tcW w:w="137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1-225</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39-0394230</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 of incorporation)</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 Identification No.)</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P.O. Box 619100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Dallas, TX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75261-9100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(Address of principal executive offices)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(Zip code)</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Registrant’s telephone number, including area code: (972) 281-1200</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ind w:left="0" w:right="0" w:hanging="360"/>
        <w:jc w:val="left"/>
        <w:rPr/>
      </w:pPr>
      <w:r>
        <w:rPr>
          <w:color w:val="000000"/>
        </w:rPr>
        <w:t>☐    </w:t>
      </w:r>
      <w:r>
        <w:rPr>
          <w:rFonts w:ascii="Arial;sans-serif" w:hAnsi="Arial;sans-serif"/>
          <w:b w:val="false"/>
          <w:color w:val="000000"/>
          <w:sz w:val="20"/>
        </w:rPr>
        <w:t>Written communications pursuant to Rule 425 under the Securities Act (17 CFR 230.425)</w:t>
      </w:r>
    </w:p>
    <w:p>
      <w:pPr>
        <w:pStyle w:val="TextBody"/>
        <w:bidi w:val="0"/>
        <w:spacing w:lineRule="auto" w:line="288" w:before="0" w:after="0"/>
        <w:ind w:left="0" w:right="0" w:hanging="360"/>
        <w:jc w:val="left"/>
        <w:rPr/>
      </w:pPr>
      <w:r>
        <w:rPr>
          <w:color w:val="000000"/>
        </w:rPr>
        <w:t>☐    </w:t>
      </w:r>
      <w:r>
        <w:rPr>
          <w:rFonts w:ascii="Arial;sans-serif" w:hAnsi="Arial;sans-serif"/>
          <w:b w:val="false"/>
          <w:color w:val="000000"/>
          <w:sz w:val="20"/>
        </w:rPr>
        <w:t>Soliciting material pursuant to Rule 14a-12 under the Exchange Act (17 CFR 240.14a-12)</w:t>
      </w:r>
    </w:p>
    <w:p>
      <w:pPr>
        <w:pStyle w:val="TextBody"/>
        <w:bidi w:val="0"/>
        <w:spacing w:lineRule="auto" w:line="288" w:before="0" w:after="0"/>
        <w:ind w:left="0" w:right="0" w:hanging="360"/>
        <w:jc w:val="left"/>
        <w:rPr/>
      </w:pPr>
      <w:r>
        <w:rPr>
          <w:color w:val="000000"/>
        </w:rPr>
        <w:t>☐    </w:t>
      </w:r>
      <w:r>
        <w:rPr>
          <w:rFonts w:ascii="Arial;sans-serif" w:hAnsi="Arial;sans-serif"/>
          <w:b w:val="false"/>
          <w:color w:val="000000"/>
          <w:sz w:val="20"/>
        </w:rPr>
        <w:t>Pre-commencement communications pursuant to Rule 14d-2(b) under the Exchange Act (17 CFR 240.14d-2(b))</w:t>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p>
      <w:pPr>
        <w:pStyle w:val="TextBody"/>
        <w:bidi w:val="0"/>
        <w:spacing w:before="0" w:after="0"/>
        <w:jc w:val="left"/>
        <w:rPr/>
      </w:pPr>
      <w:r>
        <w:rPr/>
      </w:r>
    </w:p>
    <w:tbl>
      <w:tblPr>
        <w:tblW w:w="8753" w:type="dxa"/>
        <w:jc w:val="center"/>
        <w:tblInd w:w="0" w:type="dxa"/>
        <w:tblLayout w:type="fixed"/>
        <w:tblCellMar>
          <w:top w:w="28" w:type="dxa"/>
          <w:left w:w="28" w:type="dxa"/>
          <w:bottom w:w="28" w:type="dxa"/>
          <w:right w:w="28" w:type="dxa"/>
        </w:tblCellMar>
      </w:tblPr>
      <w:tblGrid>
        <w:gridCol w:w="978"/>
        <w:gridCol w:w="859"/>
        <w:gridCol w:w="863"/>
        <w:gridCol w:w="109"/>
        <w:gridCol w:w="109"/>
        <w:gridCol w:w="109"/>
        <w:gridCol w:w="534"/>
        <w:gridCol w:w="534"/>
        <w:gridCol w:w="536"/>
        <w:gridCol w:w="109"/>
        <w:gridCol w:w="109"/>
        <w:gridCol w:w="109"/>
        <w:gridCol w:w="1108"/>
        <w:gridCol w:w="1108"/>
        <w:gridCol w:w="1579"/>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27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Stock-$1.25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KMB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Emerging growth company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1080"/>
        <w:jc w:val="left"/>
        <w:rPr/>
      </w:pPr>
      <w:r>
        <w:rPr>
          <w:rFonts w:ascii="Arial;sans-serif" w:hAnsi="Arial;sans-serif"/>
          <w:b/>
          <w:color w:val="000000"/>
          <w:sz w:val="20"/>
        </w:rPr>
        <w:t>Item 5.02</w:t>
      </w:r>
      <w:r>
        <w:rPr>
          <w:color w:val="000000"/>
        </w:rPr>
        <w:t xml:space="preserve"> </w:t>
      </w:r>
      <w:r>
        <w:rPr>
          <w:rFonts w:ascii="Arial;sans-serif" w:hAnsi="Arial;sans-serif"/>
          <w:b/>
          <w:color w:val="000000"/>
          <w:sz w:val="20"/>
        </w:rPr>
        <w:t>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On May 1, 2026, Andrew Scribner, the Corporation’s Vice President and Controller, notified the Corporation that he will depart the Corporation effective May 22, 2026 to pursue other opportunities.</w:t>
      </w:r>
      <w:r>
        <w:rPr>
          <w:color w:val="000000"/>
        </w:rPr>
        <w:t xml:space="preserve"> </w:t>
      </w:r>
      <w:r>
        <w:rPr>
          <w:rFonts w:ascii="Arial;sans-serif" w:hAnsi="Arial;sans-serif"/>
          <w:b w:val="false"/>
          <w:color w:val="000000"/>
          <w:sz w:val="20"/>
        </w:rPr>
        <w:t>The Corporation’s Senior Vice President and Chief Financial Officer, Nelson Urdaneta, will act as the Corporation’s principal accounting officer effective upon Mr. Scribner’s departure on an interim basis and in addition to his current duties.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Information regarding Mr. Urdaneta's business experience and other information required by this Item 5.02 can be found in the Corporation's Annual Report on Form 10-K for the year ended December 31, 2025 and 2026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7640" w:type="dxa"/>
        <w:jc w:val="left"/>
        <w:tblInd w:w="0" w:type="dxa"/>
        <w:tblLayout w:type="fixed"/>
        <w:tblCellMar>
          <w:top w:w="28" w:type="dxa"/>
          <w:left w:w="28" w:type="dxa"/>
          <w:bottom w:w="28" w:type="dxa"/>
          <w:right w:w="28" w:type="dxa"/>
        </w:tblCellMar>
      </w:tblPr>
      <w:tblGrid>
        <w:gridCol w:w="233"/>
        <w:gridCol w:w="205"/>
        <w:gridCol w:w="207"/>
        <w:gridCol w:w="394"/>
        <w:gridCol w:w="394"/>
        <w:gridCol w:w="396"/>
        <w:gridCol w:w="109"/>
        <w:gridCol w:w="109"/>
        <w:gridCol w:w="109"/>
        <w:gridCol w:w="523"/>
        <w:gridCol w:w="523"/>
        <w:gridCol w:w="523"/>
        <w:gridCol w:w="1145"/>
        <w:gridCol w:w="1145"/>
        <w:gridCol w:w="1625"/>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KIMBERLY-CLARK CORPORATION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Date: </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Grant B. McGee</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 B. McGee</w:t>
              <w:br/>
              <w:t>Senior Vice President and General Counsel</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457</Words>
  <Characters>2572</Characters>
  <CharactersWithSpaces>2998</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