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Perry Kirk</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2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11/02/2026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KIMBERLY CLARK CORP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KMB</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Foreign Trading Symbol</w:t>
      </w:r>
    </w:p>
    <w:p>
      <w:pPr>
        <w:spacing w:after="0" w:line="24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18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P.O. BOX 619100</w:t>
            </w:r>
          </w:p>
        </w:tc>
        <w:tc>
          <w:tcPr>
            <w:tcW w:w="1300" w:type="dxa"/>
            <w:vAlign w:val="bottom"/>
          </w:tcPr>
          <w:p>
            <w:pPr>
              <w:spacing w:after="0"/>
              <w:rPr>
                <w:sz w:val="24"/>
                <w:szCs w:val="24"/>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75261-9100</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7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84"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tcPr>
          <w:p>
            <w:pPr>
              <w:jc w:val="center"/>
              <w:ind w:left="75"/>
              <w:spacing w:after="0"/>
              <w:rPr>
                <w:sz w:val="20"/>
                <w:szCs w:val="20"/>
                <w:color w:val="auto"/>
              </w:rPr>
            </w:pPr>
            <w:r>
              <w:rPr>
                <w:rFonts w:ascii="Times New Roman" w:cs="Times New Roman" w:eastAsia="Times New Roman" w:hAnsi="Times New Roman"/>
                <w:sz w:val="20"/>
                <w:szCs w:val="20"/>
                <w:color w:val="0000FF"/>
                <w:w w:val="93"/>
              </w:rPr>
              <w:t>9,148</w:t>
            </w:r>
            <w:r>
              <w:rPr>
                <w:rFonts w:ascii="Times New Roman" w:cs="Times New Roman" w:eastAsia="Times New Roman" w:hAnsi="Times New Roman"/>
                <w:sz w:val="25"/>
                <w:szCs w:val="25"/>
                <w:color w:val="008000"/>
                <w:w w:val="93"/>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6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8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2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2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2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Borders>
              <w:bottom w:val="single" w:sz="8" w:color="2C2C2C"/>
            </w:tcBorders>
          </w:tcPr>
          <w:p>
            <w:pPr>
              <w:jc w:val="right"/>
              <w:ind w:right="288"/>
              <w:spacing w:after="0"/>
              <w:rPr>
                <w:sz w:val="20"/>
                <w:szCs w:val="20"/>
                <w:color w:val="auto"/>
              </w:rPr>
            </w:pPr>
            <w:r>
              <w:rPr>
                <w:rFonts w:ascii="Times New Roman" w:cs="Times New Roman" w:eastAsia="Times New Roman" w:hAnsi="Times New Roman"/>
                <w:sz w:val="13"/>
                <w:szCs w:val="13"/>
                <w:color w:val="008000"/>
              </w:rPr>
              <w:t>(2)</w:t>
            </w:r>
          </w:p>
        </w:tc>
        <w:tc>
          <w:tcPr>
            <w:tcW w:w="172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Borders>
              <w:bottom w:val="single" w:sz="8" w:color="2C2C2C"/>
            </w:tcBorders>
          </w:tcPr>
          <w:p>
            <w:pPr>
              <w:jc w:val="right"/>
              <w:ind w:right="77"/>
              <w:spacing w:after="0"/>
              <w:rPr>
                <w:sz w:val="20"/>
                <w:szCs w:val="20"/>
                <w:color w:val="auto"/>
              </w:rPr>
            </w:pPr>
            <w:r>
              <w:rPr>
                <w:rFonts w:ascii="Times New Roman" w:cs="Times New Roman" w:eastAsia="Times New Roman" w:hAnsi="Times New Roman"/>
                <w:sz w:val="20"/>
                <w:szCs w:val="20"/>
                <w:color w:val="0000FF"/>
              </w:rPr>
              <w:t>2,657</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center"/>
              <w:ind w:right="59"/>
              <w:spacing w:after="0"/>
              <w:rPr>
                <w:sz w:val="20"/>
                <w:szCs w:val="20"/>
                <w:color w:val="auto"/>
              </w:rPr>
            </w:pPr>
            <w:r>
              <w:rPr>
                <w:rFonts w:ascii="Times New Roman" w:cs="Times New Roman" w:eastAsia="Times New Roman" w:hAnsi="Times New Roman"/>
                <w:sz w:val="20"/>
                <w:szCs w:val="20"/>
                <w:color w:val="0000FF"/>
              </w:rPr>
              <w:t>0.0000</w:t>
            </w:r>
            <w:r>
              <w:rPr>
                <w:rFonts w:ascii="Times New Roman" w:cs="Times New Roman" w:eastAsia="Times New Roman" w:hAnsi="Times New Roman"/>
                <w:sz w:val="25"/>
                <w:szCs w:val="25"/>
                <w:color w:val="008000"/>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r>
              <w:rPr>
                <w:rFonts w:ascii="Times New Roman" w:cs="Times New Roman" w:eastAsia="Times New Roman" w:hAnsi="Times New Roman"/>
                <w:sz w:val="25"/>
                <w:szCs w:val="25"/>
                <w:color w:val="008000"/>
                <w:vertAlign w:val="superscript"/>
              </w:rPr>
              <w:t>(3)</w:t>
            </w:r>
          </w:p>
        </w:tc>
        <w:tc>
          <w:tcPr>
            <w:tcW w:w="126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(4)</w:t>
            </w:r>
          </w:p>
        </w:tc>
        <w:tc>
          <w:tcPr>
            <w:tcW w:w="880" w:type="dxa"/>
            <w:vAlign w:val="bottom"/>
            <w:tcBorders>
              <w:bottom w:val="single" w:sz="8" w:color="2C2C2C"/>
            </w:tcBorders>
          </w:tcPr>
          <w:p>
            <w:pPr>
              <w:jc w:val="right"/>
              <w:ind w:right="28"/>
              <w:spacing w:after="0"/>
              <w:rPr>
                <w:sz w:val="20"/>
                <w:szCs w:val="20"/>
                <w:color w:val="auto"/>
              </w:rPr>
            </w:pPr>
            <w:r>
              <w:rPr>
                <w:rFonts w:ascii="Times New Roman" w:cs="Times New Roman" w:eastAsia="Times New Roman" w:hAnsi="Times New Roman"/>
                <w:sz w:val="15"/>
                <w:szCs w:val="15"/>
                <w:color w:val="0000FF"/>
              </w:rPr>
              <w:t>07/31/2035</w:t>
            </w:r>
          </w:p>
        </w:tc>
        <w:tc>
          <w:tcPr>
            <w:tcW w:w="1720" w:type="dxa"/>
            <w:vAlign w:val="bottom"/>
            <w:tcBorders>
              <w:bottom w:val="single" w:sz="8" w:color="2C2C2C"/>
            </w:tcBorders>
          </w:tcPr>
          <w:p>
            <w:pPr>
              <w:jc w:val="center"/>
              <w:ind w:left="15"/>
              <w:spacing w:after="0"/>
              <w:rPr>
                <w:sz w:val="20"/>
                <w:szCs w:val="20"/>
                <w:color w:val="auto"/>
              </w:rPr>
            </w:pPr>
            <w:r>
              <w:rPr>
                <w:rFonts w:ascii="Times New Roman" w:cs="Times New Roman" w:eastAsia="Times New Roman" w:hAnsi="Times New Roman"/>
                <w:sz w:val="20"/>
                <w:szCs w:val="20"/>
                <w:color w:val="0000FF"/>
                <w:w w:val="97"/>
              </w:rPr>
              <w:t>Common Stock</w:t>
            </w:r>
          </w:p>
        </w:tc>
        <w:tc>
          <w:tcPr>
            <w:tcW w:w="9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20"/>
                <w:szCs w:val="20"/>
                <w:color w:val="0000FF"/>
              </w:rPr>
              <w:t>109,751</w:t>
            </w:r>
          </w:p>
        </w:tc>
        <w:tc>
          <w:tcPr>
            <w:tcW w:w="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jc w:val="right"/>
              <w:ind w:right="259"/>
              <w:spacing w:after="0"/>
              <w:rPr>
                <w:sz w:val="20"/>
                <w:szCs w:val="20"/>
                <w:color w:val="auto"/>
              </w:rPr>
            </w:pPr>
            <w:r>
              <w:rPr>
                <w:rFonts w:ascii="Times New Roman" w:cs="Times New Roman" w:eastAsia="Times New Roman" w:hAnsi="Times New Roman"/>
                <w:sz w:val="20"/>
                <w:szCs w:val="20"/>
                <w:color w:val="0000FF"/>
              </w:rPr>
              <w:t>120</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securities were received in respect of Kenvue Inc. common stock held at the time of the acquisition of Kenvue Inc. by the Issuer.</w:t>
      </w:r>
    </w:p>
    <w:p>
      <w:pPr>
        <w:spacing w:after="0" w:line="52" w:lineRule="exact"/>
        <w:rPr>
          <w:rFonts w:ascii="Times New Roman" w:cs="Times New Roman" w:eastAsia="Times New Roman" w:hAnsi="Times New Roman"/>
          <w:sz w:val="15"/>
          <w:szCs w:val="15"/>
          <w:color w:val="008000"/>
        </w:rPr>
      </w:pPr>
    </w:p>
    <w:p>
      <w:pPr>
        <w:jc w:val="both"/>
        <w:ind w:left="40" w:right="60" w:firstLine="5"/>
        <w:spacing w:after="0" w:line="23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restricted share units are payable on a 1-for-1 basis, granted under the Kimberly-Clark Corporation Outside Directors' Compensation Plan. Additional restricted share units are accrued based on dividends paid on the Corporation's common stock. The restricted share units may not be sold or transferred until the reporting person ceases to be a member of the Corporation's Board of Directors. The reported securities were received in respect of Kenvue Inc. deferred share units held at the time of the acquisition of Kenvue Inc. by the Issuer.</w:t>
      </w:r>
    </w:p>
    <w:p>
      <w:pPr>
        <w:spacing w:after="0" w:line="33"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securities were received in respect of Kenvue Inc. stock options held at the time of the acquisition of Kenvue Inc. by the Issuer.</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reported securities were fully vested at the time of the acquisition of Kenvue Inc. by the Issuer.</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poaperry.txt</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Jeffrey S. McFall as</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 Kirk</w:t>
            </w:r>
          </w:p>
        </w:tc>
        <w:tc>
          <w:tcPr>
            <w:tcW w:w="88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4"/>
              </w:rPr>
              <w:t>11/04/2026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2"/>
              </w:rPr>
              <w:t>Perry</w:t>
            </w:r>
          </w:p>
        </w:tc>
        <w:tc>
          <w:tcPr>
            <w:tcW w:w="1460" w:type="dxa"/>
            <w:vAlign w:val="bottom"/>
            <w:tcBorders>
              <w:top w:val="single" w:sz="8" w:color="auto"/>
            </w:tcBorders>
            <w:gridSpan w:val="2"/>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240" w:firstLine="702"/>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Jeffrey S. McFall, Courtney Roane, Suzana Blades, Jeffrey P. Melucci and Tori</w:t>
      </w:r>
    </w:p>
    <w:p>
      <w:pPr>
        <w:spacing w:after="0" w:line="2" w:lineRule="exact"/>
        <w:rPr>
          <w:sz w:val="20"/>
          <w:szCs w:val="20"/>
          <w:color w:val="auto"/>
        </w:rPr>
      </w:pPr>
    </w:p>
    <w:p>
      <w:pPr>
        <w:ind w:left="240" w:right="820" w:hanging="233"/>
        <w:spacing w:after="0" w:line="238" w:lineRule="auto"/>
        <w:rPr>
          <w:sz w:val="20"/>
          <w:szCs w:val="20"/>
          <w:color w:val="auto"/>
        </w:rPr>
      </w:pPr>
      <w:r>
        <w:rPr>
          <w:rFonts w:ascii="Courier New" w:cs="Courier New" w:eastAsia="Courier New" w:hAnsi="Courier New"/>
          <w:sz w:val="20"/>
          <w:szCs w:val="20"/>
          <w:color w:val="auto"/>
        </w:rPr>
        <w:t>Grill signing singly and with full power of substitution and re-substitution, as the undersigned's true and lawful attorney-in-fact to:</w:t>
      </w:r>
    </w:p>
    <w:p>
      <w:pPr>
        <w:spacing w:after="0" w:line="1" w:lineRule="exact"/>
        <w:rPr>
          <w:sz w:val="20"/>
          <w:szCs w:val="20"/>
          <w:color w:val="auto"/>
        </w:rPr>
      </w:pPr>
    </w:p>
    <w:p>
      <w:pPr>
        <w:jc w:val="center"/>
        <w:ind w:right="820"/>
        <w:spacing w:after="0" w:line="264" w:lineRule="auto"/>
        <w:rPr>
          <w:sz w:val="20"/>
          <w:szCs w:val="20"/>
          <w:color w:val="auto"/>
        </w:rPr>
      </w:pPr>
      <w:r>
        <w:rPr>
          <w:rFonts w:ascii="Courier New" w:cs="Courier New" w:eastAsia="Courier New" w:hAnsi="Courier New"/>
          <w:sz w:val="18"/>
          <w:szCs w:val="18"/>
          <w:color w:val="auto"/>
        </w:rPr>
        <w:t>1. obtain credentials (including codes or passwords) enabling the undersigned to make electronic filings with the U.S. Securities and Exchange Commission (the "SEC"), including as necessary to prepare, execute in the undersigned's name and</w:t>
      </w:r>
    </w:p>
    <w:p>
      <w:pPr>
        <w:spacing w:after="0" w:line="2"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on the undersigned's behalf, and submit to the SEC a Form ID, including amendments thereto, and any other document necessary or appropriate to obtain codes or passwords enabling the undersigned to make electronic filings with the SEC via the Electronic Data Gathering and Retrieval ("EDGAR") system of reports required by the Securities Exchange Act of 1934, as amended (the "Exchange Act"), the Securities Act of 1933, as amended (the "Securities Act") or any rule</w:t>
      </w:r>
    </w:p>
    <w:p>
      <w:pPr>
        <w:spacing w:after="0" w:line="3" w:lineRule="exact"/>
        <w:rPr>
          <w:sz w:val="20"/>
          <w:szCs w:val="20"/>
          <w:color w:val="auto"/>
        </w:rPr>
      </w:pPr>
    </w:p>
    <w:p>
      <w:pPr>
        <w:ind w:left="240"/>
        <w:spacing w:after="0"/>
        <w:rPr>
          <w:sz w:val="20"/>
          <w:szCs w:val="20"/>
          <w:color w:val="auto"/>
        </w:rPr>
      </w:pPr>
      <w:r>
        <w:rPr>
          <w:rFonts w:ascii="Courier New" w:cs="Courier New" w:eastAsia="Courier New" w:hAnsi="Courier New"/>
          <w:sz w:val="20"/>
          <w:szCs w:val="20"/>
          <w:color w:val="auto"/>
        </w:rPr>
        <w:t>or regulation of the SEC;</w:t>
      </w:r>
    </w:p>
    <w:p>
      <w:pPr>
        <w:ind w:right="1160"/>
        <w:spacing w:after="0" w:line="238"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act as an account administrator for the undersigned's EDGAR account, including: (i) appointing, removing and replacing account administrators, technical administrators, account users, and delegated entities; (ii) maintaining the security of Filer's EDGAR account, including modification of access codes; (iii) maintaining, modifying and certifying the accuracy of information on the undersigned's EDGAR account dashboard; and (iv) taking any other actions contemplated by Rule 10 of Regulation S-T;</w:t>
      </w:r>
    </w:p>
    <w:p>
      <w:pPr>
        <w:spacing w:after="0" w:line="3" w:lineRule="exact"/>
        <w:rPr>
          <w:rFonts w:ascii="Courier New" w:cs="Courier New" w:eastAsia="Courier New" w:hAnsi="Courier New"/>
          <w:sz w:val="20"/>
          <w:szCs w:val="20"/>
          <w:color w:val="auto"/>
        </w:rPr>
      </w:pPr>
    </w:p>
    <w:p>
      <w:pPr>
        <w:ind w:right="1040"/>
        <w:spacing w:after="0" w:line="238"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 director and/or officer of Kimberly-Clark Corporation (the "Company"), Forms 3, 4, and 5 in accordance with Section 16(a) of the Exchange Act and the rules thereunder, and Forms 144 in accordance with Rule 144 under Securities Act;</w:t>
      </w:r>
    </w:p>
    <w:p>
      <w:pPr>
        <w:spacing w:after="0" w:line="2" w:lineRule="exact"/>
        <w:rPr>
          <w:rFonts w:ascii="Courier New" w:cs="Courier New" w:eastAsia="Courier New" w:hAnsi="Courier New"/>
          <w:sz w:val="20"/>
          <w:szCs w:val="20"/>
          <w:color w:val="auto"/>
        </w:rPr>
      </w:pPr>
    </w:p>
    <w:p>
      <w:pPr>
        <w:jc w:val="both"/>
        <w:ind w:left="240" w:right="820" w:hanging="240"/>
        <w:spacing w:after="0" w:line="264" w:lineRule="auto"/>
        <w:tabs>
          <w:tab w:leader="none" w:pos="35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that may be necessary or desirable to complete and execute any such Form 3, 4, or 5, or</w:t>
      </w:r>
    </w:p>
    <w:p>
      <w:pPr>
        <w:spacing w:after="0" w:line="2" w:lineRule="exact"/>
        <w:rPr>
          <w:sz w:val="20"/>
          <w:szCs w:val="20"/>
          <w:color w:val="auto"/>
        </w:rPr>
      </w:pPr>
    </w:p>
    <w:p>
      <w:pPr>
        <w:ind w:left="240" w:right="820"/>
        <w:spacing w:after="0" w:line="264" w:lineRule="auto"/>
        <w:rPr>
          <w:sz w:val="20"/>
          <w:szCs w:val="20"/>
          <w:color w:val="auto"/>
        </w:rPr>
      </w:pPr>
      <w:r>
        <w:rPr>
          <w:rFonts w:ascii="Courier New" w:cs="Courier New" w:eastAsia="Courier New" w:hAnsi="Courier New"/>
          <w:sz w:val="18"/>
          <w:szCs w:val="18"/>
          <w:color w:val="auto"/>
        </w:rPr>
        <w:t>Form 144, complete and execute any amendment or amendments thereto, and timely file such form with the SEC and any securities exchange or similar authority;</w:t>
      </w:r>
    </w:p>
    <w:p>
      <w:pPr>
        <w:spacing w:after="0"/>
        <w:rPr>
          <w:sz w:val="20"/>
          <w:szCs w:val="20"/>
          <w:color w:val="auto"/>
        </w:rPr>
      </w:pPr>
      <w:r>
        <w:rPr>
          <w:rFonts w:ascii="Courier New" w:cs="Courier New" w:eastAsia="Courier New" w:hAnsi="Courier New"/>
          <w:sz w:val="20"/>
          <w:szCs w:val="20"/>
          <w:color w:val="auto"/>
        </w:rPr>
        <w:t>and</w:t>
      </w:r>
    </w:p>
    <w:p>
      <w:pPr>
        <w:ind w:left="240" w:right="820" w:hanging="240"/>
        <w:spacing w:after="0" w:line="264" w:lineRule="auto"/>
        <w:tabs>
          <w:tab w:leader="none" w:pos="35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that, in the opinion of such attorney-in-fact, may be of benefit to, in the</w:t>
      </w:r>
    </w:p>
    <w:p>
      <w:pPr>
        <w:spacing w:after="0" w:line="2" w:lineRule="exact"/>
        <w:rPr>
          <w:sz w:val="20"/>
          <w:szCs w:val="20"/>
          <w:color w:val="auto"/>
        </w:rPr>
      </w:pPr>
    </w:p>
    <w:p>
      <w:pPr>
        <w:ind w:right="1040"/>
        <w:spacing w:after="0" w:line="238" w:lineRule="auto"/>
        <w:rPr>
          <w:sz w:val="20"/>
          <w:szCs w:val="20"/>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sole discretion.</w:t>
      </w:r>
    </w:p>
    <w:p>
      <w:pPr>
        <w:spacing w:after="0" w:line="2" w:lineRule="exact"/>
        <w:rPr>
          <w:sz w:val="20"/>
          <w:szCs w:val="20"/>
          <w:color w:val="auto"/>
        </w:rPr>
      </w:pPr>
    </w:p>
    <w:p>
      <w:pPr>
        <w:ind w:right="580" w:firstLine="937"/>
        <w:spacing w:after="0" w:line="26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w:t>
      </w:r>
    </w:p>
    <w:p>
      <w:pPr>
        <w:spacing w:after="0" w:line="3" w:lineRule="exact"/>
        <w:rPr>
          <w:sz w:val="20"/>
          <w:szCs w:val="20"/>
          <w:color w:val="auto"/>
        </w:rPr>
      </w:pPr>
    </w:p>
    <w:p>
      <w:pPr>
        <w:ind w:left="240" w:right="820"/>
        <w:spacing w:after="0" w:line="264" w:lineRule="auto"/>
        <w:rPr>
          <w:sz w:val="20"/>
          <w:szCs w:val="20"/>
          <w:color w:val="auto"/>
        </w:rPr>
      </w:pPr>
      <w:r>
        <w:rPr>
          <w:rFonts w:ascii="Courier New" w:cs="Courier New" w:eastAsia="Courier New" w:hAnsi="Courier New"/>
          <w:sz w:val="18"/>
          <w:szCs w:val="18"/>
          <w:color w:val="auto"/>
        </w:rPr>
        <w:t>could do if personally present, with full power of substitution or revocation, hereby ratifying and confirming all that each such attorney-in-fact, or such</w:t>
      </w:r>
    </w:p>
    <w:p>
      <w:pPr>
        <w:spacing w:after="0" w:line="2" w:lineRule="exact"/>
        <w:rPr>
          <w:sz w:val="20"/>
          <w:szCs w:val="20"/>
          <w:color w:val="auto"/>
        </w:rPr>
      </w:pPr>
    </w:p>
    <w:p>
      <w:pPr>
        <w:ind w:right="820"/>
        <w:spacing w:after="0" w:line="264" w:lineRule="auto"/>
        <w:rPr>
          <w:sz w:val="20"/>
          <w:szCs w:val="20"/>
          <w:color w:val="auto"/>
        </w:rPr>
      </w:pPr>
      <w:r>
        <w:rPr>
          <w:rFonts w:ascii="Courier New" w:cs="Courier New" w:eastAsia="Courier New" w:hAnsi="Courier New"/>
          <w:sz w:val="18"/>
          <w:szCs w:val="18"/>
          <w:color w:val="auto"/>
        </w:rPr>
        <w:t>attorney-in-fact's substitute or substitutes, shall lawfully do or cause to be done by virtue of this power of attorney and the rights and powers herein granted. The undersigned also ratifies hereby any action previously taken by each attorney-in-fact that would have been authorized by this power of attorney if it has been in effect at the time such action was taken. The undersigned acknowledges that each attorney-in-fact, in serving in such capacity at the request of the undersigned, is not assuming, nor is the Company assuming, any of</w:t>
      </w:r>
    </w:p>
    <w:p>
      <w:pPr>
        <w:spacing w:after="0" w:line="6" w:lineRule="exact"/>
        <w:rPr>
          <w:sz w:val="20"/>
          <w:szCs w:val="20"/>
          <w:color w:val="auto"/>
        </w:rPr>
      </w:pPr>
    </w:p>
    <w:p>
      <w:pPr>
        <w:ind w:right="820" w:firstLine="234"/>
        <w:spacing w:after="0" w:line="264" w:lineRule="auto"/>
        <w:rPr>
          <w:sz w:val="20"/>
          <w:szCs w:val="20"/>
          <w:color w:val="auto"/>
        </w:rPr>
      </w:pPr>
      <w:r>
        <w:rPr>
          <w:rFonts w:ascii="Courier New" w:cs="Courier New" w:eastAsia="Courier New" w:hAnsi="Courier New"/>
          <w:sz w:val="18"/>
          <w:szCs w:val="18"/>
          <w:color w:val="auto"/>
        </w:rPr>
        <w:t>the undersigned's responsibilities to comply with the requirements of the Exchange Act or Securities Act, including Section 16 of the Exchange Act or Rule</w:t>
      </w:r>
    </w:p>
    <w:p>
      <w:pPr>
        <w:ind w:left="240"/>
        <w:spacing w:after="0"/>
        <w:rPr>
          <w:sz w:val="20"/>
          <w:szCs w:val="20"/>
          <w:color w:val="auto"/>
        </w:rPr>
      </w:pPr>
      <w:r>
        <w:rPr>
          <w:rFonts w:ascii="Courier New" w:cs="Courier New" w:eastAsia="Courier New" w:hAnsi="Courier New"/>
          <w:sz w:val="20"/>
          <w:szCs w:val="20"/>
          <w:color w:val="auto"/>
        </w:rPr>
        <w:t>144 under the Securities Act;</w:t>
      </w:r>
    </w:p>
    <w:p>
      <w:pPr>
        <w:ind w:left="240" w:firstLine="702"/>
        <w:spacing w:after="0" w:line="264" w:lineRule="auto"/>
        <w:rPr>
          <w:sz w:val="20"/>
          <w:szCs w:val="20"/>
          <w:color w:val="auto"/>
        </w:rPr>
      </w:pPr>
      <w:r>
        <w:rPr>
          <w:rFonts w:ascii="Courier New" w:cs="Courier New" w:eastAsia="Courier New" w:hAnsi="Courier New"/>
          <w:sz w:val="18"/>
          <w:szCs w:val="18"/>
          <w:color w:val="auto"/>
        </w:rPr>
        <w:t>This Power of Attorney shall remain in full force and effect until the earliest to occur of (a) undersigned is no longer required to file Forms 3, 4, and 5</w:t>
      </w:r>
    </w:p>
    <w:p>
      <w:pPr>
        <w:spacing w:after="0" w:line="2" w:lineRule="exact"/>
        <w:rPr>
          <w:sz w:val="20"/>
          <w:szCs w:val="20"/>
          <w:color w:val="auto"/>
        </w:rPr>
      </w:pPr>
    </w:p>
    <w:p>
      <w:pPr>
        <w:ind w:right="820"/>
        <w:spacing w:after="0" w:line="264" w:lineRule="auto"/>
        <w:rPr>
          <w:sz w:val="20"/>
          <w:szCs w:val="20"/>
          <w:color w:val="auto"/>
        </w:rPr>
      </w:pPr>
      <w:r>
        <w:rPr>
          <w:rFonts w:ascii="Courier New" w:cs="Courier New" w:eastAsia="Courier New" w:hAnsi="Courier New"/>
          <w:sz w:val="18"/>
          <w:szCs w:val="18"/>
          <w:color w:val="auto"/>
        </w:rPr>
        <w:t>and Form 144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w:t>
      </w:r>
    </w:p>
    <w:p>
      <w:pPr>
        <w:spacing w:after="0" w:line="2" w:lineRule="exact"/>
        <w:rPr>
          <w:sz w:val="20"/>
          <w:szCs w:val="20"/>
          <w:color w:val="auto"/>
        </w:rPr>
      </w:pPr>
    </w:p>
    <w:p>
      <w:pPr>
        <w:ind w:left="240"/>
        <w:spacing w:after="0"/>
        <w:rPr>
          <w:sz w:val="20"/>
          <w:szCs w:val="20"/>
          <w:color w:val="auto"/>
        </w:rPr>
      </w:pPr>
      <w:r>
        <w:rPr>
          <w:rFonts w:ascii="Courier New" w:cs="Courier New" w:eastAsia="Courier New" w:hAnsi="Courier New"/>
          <w:sz w:val="20"/>
          <w:szCs w:val="20"/>
          <w:color w:val="auto"/>
        </w:rPr>
        <w:t>by the Company or its subsidiaries.</w:t>
      </w:r>
    </w:p>
    <w:p>
      <w:pPr>
        <w:ind w:right="940" w:firstLine="1405"/>
        <w:spacing w:after="0" w:line="310" w:lineRule="auto"/>
        <w:rPr>
          <w:sz w:val="20"/>
          <w:szCs w:val="20"/>
          <w:color w:val="auto"/>
        </w:rPr>
      </w:pPr>
      <w:r>
        <w:rPr>
          <w:rFonts w:ascii="Courier New" w:cs="Courier New" w:eastAsia="Courier New" w:hAnsi="Courier New"/>
          <w:sz w:val="20"/>
          <w:szCs w:val="20"/>
          <w:color w:val="auto"/>
        </w:rPr>
        <w:t>IN WITNESS WHEREOF, I have hereunto set my hand effective this 20th day of October, 2026.</w:t>
      </w:r>
    </w:p>
    <w:p>
      <w:pPr>
        <w:spacing w:after="0" w:line="200" w:lineRule="exact"/>
        <w:rPr>
          <w:sz w:val="20"/>
          <w:szCs w:val="20"/>
          <w:color w:val="auto"/>
        </w:rPr>
      </w:pPr>
    </w:p>
    <w:p>
      <w:pPr>
        <w:spacing w:after="0" w:line="304" w:lineRule="exact"/>
        <w:rPr>
          <w:sz w:val="20"/>
          <w:szCs w:val="20"/>
          <w:color w:val="auto"/>
        </w:rPr>
      </w:pPr>
    </w:p>
    <w:p>
      <w:pPr>
        <w:ind w:left="820"/>
        <w:spacing w:after="0"/>
        <w:rPr>
          <w:sz w:val="20"/>
          <w:szCs w:val="20"/>
          <w:color w:val="auto"/>
        </w:rPr>
      </w:pPr>
      <w:r>
        <w:rPr>
          <w:rFonts w:ascii="Courier New" w:cs="Courier New" w:eastAsia="Courier New" w:hAnsi="Courier New"/>
          <w:sz w:val="20"/>
          <w:szCs w:val="20"/>
          <w:color w:val="auto"/>
        </w:rPr>
        <w:t>___/s/ Kirk Perry___________</w:t>
      </w:r>
    </w:p>
    <w:p>
      <w:pPr>
        <w:spacing w:after="0" w:line="35" w:lineRule="exact"/>
        <w:rPr>
          <w:sz w:val="20"/>
          <w:szCs w:val="20"/>
          <w:color w:val="auto"/>
        </w:rPr>
      </w:pPr>
    </w:p>
    <w:p>
      <w:pPr>
        <w:ind w:left="8080"/>
        <w:spacing w:after="0"/>
        <w:rPr>
          <w:sz w:val="20"/>
          <w:szCs w:val="20"/>
          <w:color w:val="auto"/>
        </w:rPr>
      </w:pPr>
      <w:r>
        <w:rPr>
          <w:rFonts w:ascii="Courier New" w:cs="Courier New" w:eastAsia="Courier New" w:hAnsi="Courier New"/>
          <w:sz w:val="20"/>
          <w:szCs w:val="20"/>
          <w:color w:val="auto"/>
        </w:rPr>
        <w:t>Kirk Perry</w:t>
      </w:r>
    </w:p>
    <w:sectPr>
      <w:pgSz w:w="11900" w:h="16838" w:orient="portrait"/>
      <w:cols w:equalWidth="0" w:num="1">
        <w:col w:w="10180"/>
      </w:cols>
      <w:pgMar w:left="480" w:top="106" w:right="1239" w:bottom="59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685154" TargetMode="External"/><Relationship Id="rId11" Type="http://schemas.openxmlformats.org/officeDocument/2006/relationships/hyperlink" Target="http://www.sec.gov/cgi-bin/browse-edgar?action=getcompany&amp;CIK=00000557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2026-11-04T20:09:17Z</dcterms:created>
  <dcterms:modified xsi:type="dcterms:W3CDTF">2026-11-04T20:09:17Z</dcterms:modified>
</cp:coreProperties>
</file>