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Panayiotou Stacey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KIMBERLY CLARK CORP</w:t>
              </w:r>
            </w:hyperlink>
            <w:r>
              <w:rPr/>
              <w:t xml:space="preserve"> [ </w:t>
            </w:r>
            <w:r>
              <w:rPr>
                <w:rFonts w:ascii="Times;serif" w:hAnsi="Times;serif"/>
                <w:color w:val="0000FF"/>
                <w:sz w:val="24"/>
                <w:shd w:fill="FFFFFF" w:val="clear"/>
              </w:rPr>
              <w:t>KMB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84" w:type="dxa"/>
        <w:jc w:val="left"/>
        <w:tblInd w:w="-7" w:type="dxa"/>
        <w:tblLayout w:type="fixed"/>
        <w:tblCellMar>
          <w:top w:w="60" w:type="dxa"/>
          <w:left w:w="60" w:type="dxa"/>
          <w:bottom w:w="60" w:type="dxa"/>
          <w:right w:w="60" w:type="dxa"/>
        </w:tblCellMar>
      </w:tblPr>
      <w:tblGrid>
        <w:gridCol w:w="99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5/1/2026 (w/dividends reinvested)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(1)</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payable on a 1-for-1 basis, granted under the Kimberly-Clark Corporation Equity Participation Plan. Additional restricted share units are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share units vest 30 percent on each of the first and second anniversaries of the grant date and the remaining 40 percent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S. McFall as attorney-in-fact for Stacey Panayiotou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4162" TargetMode="External"/><Relationship Id="rId5" Type="http://schemas.openxmlformats.org/officeDocument/2006/relationships/hyperlink" Target="http://www.sec.gov/cgi-bin/browse-edgar?action=getcompany&amp;CIK=0000055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3491</Characters>
  <CharactersWithSpaces>4066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