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MERLO LARRY J</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619100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5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75261-9100</w:t>
            </w:r>
          </w:p>
        </w:tc>
      </w:tr>
      <w:tr>
        <w:trPr>
          <w:trHeight w:val="152"/>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r>
              <w:rPr>
                <w:rFonts w:ascii="Times New Roman" w:cs="Times New Roman" w:eastAsia="Times New Roman" w:hAnsi="Times New Roman"/>
                <w:sz w:val="21"/>
                <w:szCs w:val="21"/>
                <w:color w:val="008000"/>
                <w:vertAlign w:val="superscript"/>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300</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r>
              <w:rPr>
                <w:rFonts w:ascii="Times New Roman" w:cs="Times New Roman" w:eastAsia="Times New Roman" w:hAnsi="Times New Roman"/>
                <w:sz w:val="21"/>
                <w:szCs w:val="21"/>
                <w:color w:val="008000"/>
                <w:vertAlign w:val="superscript"/>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11/02/2026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300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00"/>
              <w:spacing w:after="0" w:line="144" w:lineRule="exact"/>
              <w:rPr>
                <w:sz w:val="20"/>
                <w:szCs w:val="20"/>
                <w:color w:val="auto"/>
              </w:rPr>
            </w:pPr>
            <w:r>
              <w:rPr>
                <w:rFonts w:ascii="Times New Roman" w:cs="Times New Roman" w:eastAsia="Times New Roman" w:hAnsi="Times New Roman"/>
                <w:sz w:val="13"/>
                <w:szCs w:val="13"/>
                <w:color w:val="0000FF"/>
              </w:rPr>
              <w:t>10,804</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payable on a 1-for-1 basis, granted under the Kimberly-Clark Corporation Outside Directors' Compensation Plan. Additional restricted share units are accrued based on dividends paid on the Corporation's common stock. The restricted share units may not be sold or transferred until the reporting person ceases to be a member of the Corporation's Board of Directors.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Jeffrey S. McFall as attorney-</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11/04/2026</w:t>
            </w:r>
          </w:p>
        </w:tc>
        <w:tc>
          <w:tcPr>
            <w:tcW w:w="0" w:type="dxa"/>
            <w:vAlign w:val="bottom"/>
          </w:tcPr>
          <w:p>
            <w:pPr>
              <w:spacing w:after="0"/>
              <w:rPr>
                <w:sz w:val="1"/>
                <w:szCs w:val="1"/>
                <w:color w:val="auto"/>
              </w:rPr>
            </w:pPr>
          </w:p>
        </w:tc>
      </w:tr>
      <w:tr>
        <w:trPr>
          <w:trHeight w:val="84"/>
        </w:trPr>
        <w:tc>
          <w:tcPr>
            <w:tcW w:w="15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in-fact for Larry Merlo</w:t>
            </w:r>
          </w:p>
        </w:tc>
        <w:tc>
          <w:tcPr>
            <w:tcW w:w="5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4413"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2026-11-04T15:51:01Z</dcterms:created>
  <dcterms:modified xsi:type="dcterms:W3CDTF">2026-11-04T15:51:01Z</dcterms:modified>
</cp:coreProperties>
</file>