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ind w:right="-299"/>
        <w:spacing w:after="0"/>
        <w:rPr>
          <w:sz w:val="20"/>
          <w:szCs w:val="20"/>
          <w:color w:val="auto"/>
        </w:rPr>
      </w:pPr>
      <w:r>
        <w:rPr>
          <w:rFonts w:ascii="Arial" w:cs="Arial" w:eastAsia="Arial" w:hAnsi="Arial"/>
          <w:sz w:val="25"/>
          <w:szCs w:val="25"/>
          <w:b w:val="1"/>
          <w:bCs w:val="1"/>
          <w:color w:val="auto"/>
        </w:rPr>
        <w:t>FORM SD</w:t>
      </w:r>
    </w:p>
    <w:p>
      <w:pPr>
        <w:spacing w:after="0" w:line="64" w:lineRule="exact"/>
        <w:rPr>
          <w:sz w:val="24"/>
          <w:szCs w:val="24"/>
          <w:color w:val="auto"/>
        </w:rPr>
      </w:pPr>
    </w:p>
    <w:p>
      <w:pPr>
        <w:jc w:val="center"/>
        <w:ind w:right="-299"/>
        <w:spacing w:after="0"/>
        <w:rPr>
          <w:sz w:val="20"/>
          <w:szCs w:val="20"/>
          <w:color w:val="auto"/>
        </w:rPr>
      </w:pPr>
      <w:r>
        <w:rPr>
          <w:rFonts w:ascii="Arial" w:cs="Arial" w:eastAsia="Arial" w:hAnsi="Arial"/>
          <w:sz w:val="25"/>
          <w:szCs w:val="25"/>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38735</wp:posOffset>
            </wp:positionV>
            <wp:extent cx="3145790" cy="411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45790"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KIMBERLY-CLARK CORPORATION</w:t>
      </w:r>
    </w:p>
    <w:p>
      <w:pPr>
        <w:spacing w:after="0" w:line="40"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(Exact name of the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3780" w:type="dxa"/>
            <w:vAlign w:val="bottom"/>
          </w:tcPr>
          <w:p>
            <w:pPr>
              <w:jc w:val="center"/>
              <w:ind w:right="310"/>
              <w:spacing w:after="0"/>
              <w:rPr>
                <w:sz w:val="20"/>
                <w:szCs w:val="20"/>
                <w:color w:val="auto"/>
              </w:rPr>
            </w:pPr>
            <w:r>
              <w:rPr>
                <w:rFonts w:ascii="Arial" w:cs="Arial" w:eastAsia="Arial" w:hAnsi="Arial"/>
                <w:sz w:val="18"/>
                <w:szCs w:val="18"/>
                <w:b w:val="1"/>
                <w:bCs w:val="1"/>
                <w:color w:val="auto"/>
                <w:w w:val="98"/>
              </w:rPr>
              <w:t>Delaware</w:t>
            </w:r>
          </w:p>
        </w:tc>
        <w:tc>
          <w:tcPr>
            <w:tcW w:w="2960" w:type="dxa"/>
            <w:vAlign w:val="bottom"/>
          </w:tcPr>
          <w:p>
            <w:pPr>
              <w:jc w:val="right"/>
              <w:ind w:right="1230"/>
              <w:spacing w:after="0"/>
              <w:rPr>
                <w:sz w:val="20"/>
                <w:szCs w:val="20"/>
                <w:color w:val="auto"/>
              </w:rPr>
            </w:pPr>
            <w:r>
              <w:rPr>
                <w:rFonts w:ascii="Arial" w:cs="Arial" w:eastAsia="Arial" w:hAnsi="Arial"/>
                <w:sz w:val="18"/>
                <w:szCs w:val="18"/>
                <w:b w:val="1"/>
                <w:bCs w:val="1"/>
                <w:color w:val="auto"/>
              </w:rPr>
              <w:t>1-225</w:t>
            </w:r>
          </w:p>
        </w:tc>
        <w:tc>
          <w:tcPr>
            <w:tcW w:w="3320" w:type="dxa"/>
            <w:vAlign w:val="bottom"/>
          </w:tcPr>
          <w:p>
            <w:pPr>
              <w:jc w:val="center"/>
              <w:ind w:left="470"/>
              <w:spacing w:after="0"/>
              <w:rPr>
                <w:sz w:val="20"/>
                <w:szCs w:val="20"/>
                <w:color w:val="auto"/>
              </w:rPr>
            </w:pPr>
            <w:r>
              <w:rPr>
                <w:rFonts w:ascii="Arial" w:cs="Arial" w:eastAsia="Arial" w:hAnsi="Arial"/>
                <w:sz w:val="18"/>
                <w:szCs w:val="18"/>
                <w:b w:val="1"/>
                <w:bCs w:val="1"/>
                <w:color w:val="auto"/>
                <w:w w:val="99"/>
              </w:rPr>
              <w:t>39-0394230</w:t>
            </w:r>
          </w:p>
        </w:tc>
      </w:tr>
      <w:tr>
        <w:trPr>
          <w:trHeight w:val="239"/>
        </w:trPr>
        <w:tc>
          <w:tcPr>
            <w:tcW w:w="3780" w:type="dxa"/>
            <w:vAlign w:val="bottom"/>
          </w:tcPr>
          <w:p>
            <w:pPr>
              <w:jc w:val="center"/>
              <w:ind w:right="290"/>
              <w:spacing w:after="0"/>
              <w:rPr>
                <w:sz w:val="20"/>
                <w:szCs w:val="20"/>
                <w:color w:val="auto"/>
              </w:rPr>
            </w:pPr>
            <w:r>
              <w:rPr>
                <w:rFonts w:ascii="Arial" w:cs="Arial" w:eastAsia="Arial" w:hAnsi="Arial"/>
                <w:sz w:val="18"/>
                <w:szCs w:val="18"/>
                <w:color w:val="auto"/>
                <w:w w:val="99"/>
              </w:rPr>
              <w:t>(State or other jurisdiction of incorporation)</w:t>
            </w:r>
          </w:p>
        </w:tc>
        <w:tc>
          <w:tcPr>
            <w:tcW w:w="2960" w:type="dxa"/>
            <w:vAlign w:val="bottom"/>
          </w:tcPr>
          <w:p>
            <w:pPr>
              <w:jc w:val="center"/>
              <w:ind w:right="70"/>
              <w:spacing w:after="0"/>
              <w:rPr>
                <w:sz w:val="20"/>
                <w:szCs w:val="20"/>
                <w:color w:val="auto"/>
              </w:rPr>
            </w:pPr>
            <w:r>
              <w:rPr>
                <w:rFonts w:ascii="Arial" w:cs="Arial" w:eastAsia="Arial" w:hAnsi="Arial"/>
                <w:sz w:val="18"/>
                <w:szCs w:val="18"/>
                <w:color w:val="auto"/>
                <w:w w:val="99"/>
              </w:rPr>
              <w:t>(Commission file number)</w:t>
            </w:r>
          </w:p>
        </w:tc>
        <w:tc>
          <w:tcPr>
            <w:tcW w:w="3320" w:type="dxa"/>
            <w:vAlign w:val="bottom"/>
          </w:tcPr>
          <w:p>
            <w:pPr>
              <w:jc w:val="center"/>
              <w:ind w:left="450"/>
              <w:spacing w:after="0"/>
              <w:rPr>
                <w:sz w:val="20"/>
                <w:szCs w:val="20"/>
                <w:color w:val="auto"/>
              </w:rPr>
            </w:pPr>
            <w:r>
              <w:rPr>
                <w:rFonts w:ascii="Arial" w:cs="Arial" w:eastAsia="Arial" w:hAnsi="Arial"/>
                <w:sz w:val="18"/>
                <w:szCs w:val="18"/>
                <w:color w:val="auto"/>
              </w:rPr>
              <w:t>(I.R.S. Employer Identification No.)</w:t>
            </w:r>
          </w:p>
        </w:tc>
      </w:tr>
      <w:tr>
        <w:trPr>
          <w:trHeight w:val="450"/>
        </w:trPr>
        <w:tc>
          <w:tcPr>
            <w:tcW w:w="3780" w:type="dxa"/>
            <w:vAlign w:val="bottom"/>
          </w:tcPr>
          <w:p>
            <w:pPr>
              <w:jc w:val="center"/>
              <w:ind w:right="290"/>
              <w:spacing w:after="0"/>
              <w:rPr>
                <w:sz w:val="20"/>
                <w:szCs w:val="20"/>
                <w:color w:val="auto"/>
              </w:rPr>
            </w:pPr>
            <w:r>
              <w:rPr>
                <w:rFonts w:ascii="Arial" w:cs="Arial" w:eastAsia="Arial" w:hAnsi="Arial"/>
                <w:sz w:val="18"/>
                <w:szCs w:val="18"/>
                <w:b w:val="1"/>
                <w:bCs w:val="1"/>
                <w:color w:val="auto"/>
                <w:w w:val="98"/>
              </w:rPr>
              <w:t>P.O. Box 619100, Dallas, Texas</w:t>
            </w:r>
          </w:p>
        </w:tc>
        <w:tc>
          <w:tcPr>
            <w:tcW w:w="2960" w:type="dxa"/>
            <w:vAlign w:val="bottom"/>
          </w:tcPr>
          <w:p>
            <w:pPr>
              <w:spacing w:after="0"/>
              <w:rPr>
                <w:sz w:val="24"/>
                <w:szCs w:val="24"/>
                <w:color w:val="auto"/>
              </w:rPr>
            </w:pPr>
          </w:p>
        </w:tc>
        <w:tc>
          <w:tcPr>
            <w:tcW w:w="3320" w:type="dxa"/>
            <w:vAlign w:val="bottom"/>
          </w:tcPr>
          <w:p>
            <w:pPr>
              <w:jc w:val="center"/>
              <w:ind w:left="470"/>
              <w:spacing w:after="0"/>
              <w:rPr>
                <w:sz w:val="20"/>
                <w:szCs w:val="20"/>
                <w:color w:val="auto"/>
              </w:rPr>
            </w:pPr>
            <w:r>
              <w:rPr>
                <w:rFonts w:ascii="Arial" w:cs="Arial" w:eastAsia="Arial" w:hAnsi="Arial"/>
                <w:sz w:val="18"/>
                <w:szCs w:val="18"/>
                <w:b w:val="1"/>
                <w:bCs w:val="1"/>
                <w:color w:val="auto"/>
                <w:w w:val="99"/>
              </w:rPr>
              <w:t>75261-9100</w:t>
            </w:r>
          </w:p>
        </w:tc>
      </w:tr>
      <w:tr>
        <w:trPr>
          <w:trHeight w:val="239"/>
        </w:trPr>
        <w:tc>
          <w:tcPr>
            <w:tcW w:w="3780" w:type="dxa"/>
            <w:vAlign w:val="bottom"/>
          </w:tcPr>
          <w:p>
            <w:pPr>
              <w:jc w:val="center"/>
              <w:ind w:right="290"/>
              <w:spacing w:after="0"/>
              <w:rPr>
                <w:sz w:val="20"/>
                <w:szCs w:val="20"/>
                <w:color w:val="auto"/>
              </w:rPr>
            </w:pPr>
            <w:r>
              <w:rPr>
                <w:rFonts w:ascii="Arial" w:cs="Arial" w:eastAsia="Arial" w:hAnsi="Arial"/>
                <w:sz w:val="18"/>
                <w:szCs w:val="18"/>
                <w:color w:val="auto"/>
                <w:w w:val="99"/>
              </w:rPr>
              <w:t>(Address of principal executive offices)</w:t>
            </w:r>
          </w:p>
        </w:tc>
        <w:tc>
          <w:tcPr>
            <w:tcW w:w="2960" w:type="dxa"/>
            <w:vAlign w:val="bottom"/>
          </w:tcPr>
          <w:p>
            <w:pPr>
              <w:spacing w:after="0"/>
              <w:rPr>
                <w:sz w:val="20"/>
                <w:szCs w:val="20"/>
                <w:color w:val="auto"/>
              </w:rPr>
            </w:pPr>
          </w:p>
        </w:tc>
        <w:tc>
          <w:tcPr>
            <w:tcW w:w="3320" w:type="dxa"/>
            <w:vAlign w:val="bottom"/>
          </w:tcPr>
          <w:p>
            <w:pPr>
              <w:jc w:val="center"/>
              <w:ind w:left="450"/>
              <w:spacing w:after="0"/>
              <w:rPr>
                <w:sz w:val="20"/>
                <w:szCs w:val="20"/>
                <w:color w:val="auto"/>
              </w:rPr>
            </w:pPr>
            <w:r>
              <w:rPr>
                <w:rFonts w:ascii="Arial" w:cs="Arial" w:eastAsia="Arial" w:hAnsi="Arial"/>
                <w:sz w:val="18"/>
                <w:szCs w:val="18"/>
                <w:color w:val="auto"/>
              </w:rPr>
              <w:t>(Zip code)</w:t>
            </w:r>
          </w:p>
        </w:tc>
      </w:tr>
    </w:tbl>
    <w:p>
      <w:pPr>
        <w:spacing w:after="0" w:line="200" w:lineRule="exact"/>
        <w:rPr>
          <w:sz w:val="24"/>
          <w:szCs w:val="24"/>
          <w:color w:val="auto"/>
        </w:rPr>
      </w:pPr>
    </w:p>
    <w:p>
      <w:pPr>
        <w:spacing w:after="0" w:line="331" w:lineRule="exact"/>
        <w:rPr>
          <w:sz w:val="24"/>
          <w:szCs w:val="24"/>
          <w:color w:val="auto"/>
        </w:rPr>
      </w:pPr>
    </w:p>
    <w:p>
      <w:pPr>
        <w:ind w:left="1460"/>
        <w:spacing w:after="0"/>
        <w:rPr>
          <w:sz w:val="20"/>
          <w:szCs w:val="20"/>
          <w:color w:val="auto"/>
        </w:rPr>
      </w:pPr>
      <w:r>
        <w:rPr>
          <w:rFonts w:ascii="Arial" w:cs="Arial" w:eastAsia="Arial" w:hAnsi="Arial"/>
          <w:sz w:val="18"/>
          <w:szCs w:val="18"/>
          <w:color w:val="auto"/>
        </w:rPr>
        <w:t>Tamera Fenske, Senior Vice President and Chief Supply Chain Officer (972) 281-1200</w:t>
      </w:r>
    </w:p>
    <w:p>
      <w:pPr>
        <w:spacing w:after="0" w:line="167" w:lineRule="exact"/>
        <w:rPr>
          <w:sz w:val="24"/>
          <w:szCs w:val="24"/>
          <w:color w:val="auto"/>
        </w:rPr>
      </w:pPr>
    </w:p>
    <w:p>
      <w:pPr>
        <w:ind w:left="1800"/>
        <w:spacing w:after="0"/>
        <w:rPr>
          <w:sz w:val="20"/>
          <w:szCs w:val="20"/>
          <w:color w:val="auto"/>
        </w:rPr>
      </w:pPr>
      <w:r>
        <w:rPr>
          <w:rFonts w:ascii="Arial" w:cs="Arial" w:eastAsia="Arial" w:hAnsi="Arial"/>
          <w:sz w:val="14"/>
          <w:szCs w:val="14"/>
          <w:color w:val="auto"/>
        </w:rPr>
        <w:t>(Name and telephone number, including area code, of the person to contact in connection with this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ind w:right="500"/>
        <w:spacing w:after="0" w:line="245" w:lineRule="auto"/>
        <w:rPr>
          <w:sz w:val="20"/>
          <w:szCs w:val="20"/>
          <w:color w:val="auto"/>
        </w:rPr>
      </w:pPr>
      <w:r>
        <w:rPr>
          <w:rFonts w:ascii="Arial" w:cs="Arial" w:eastAsia="Arial" w:hAnsi="Arial"/>
          <w:sz w:val="15"/>
          <w:szCs w:val="15"/>
          <w:color w:val="auto"/>
        </w:rPr>
        <w:t>Check the appropriate box to indicate the rule pursuant to which this form is being filed, and provide the period to which the information in this form applies:</w:t>
      </w:r>
    </w:p>
    <w:p>
      <w:pPr>
        <w:spacing w:after="0" w:line="228" w:lineRule="exact"/>
        <w:rPr>
          <w:sz w:val="24"/>
          <w:szCs w:val="24"/>
          <w:color w:val="auto"/>
        </w:rPr>
      </w:pPr>
    </w:p>
    <w:p>
      <w:pPr>
        <w:ind w:left="520" w:right="360" w:hanging="335"/>
        <w:spacing w:after="0" w:line="320" w:lineRule="auto"/>
        <w:tabs>
          <w:tab w:leader="none" w:pos="520" w:val="left"/>
        </w:tabs>
        <w:numPr>
          <w:ilvl w:val="0"/>
          <w:numId w:val="1"/>
        </w:numPr>
        <w:rPr>
          <w:rFonts w:ascii="Arial" w:cs="Arial" w:eastAsia="Arial" w:hAnsi="Arial"/>
          <w:sz w:val="15"/>
          <w:szCs w:val="15"/>
          <w:u w:val="single" w:color="auto"/>
          <w:color w:val="auto"/>
        </w:rPr>
      </w:pPr>
      <w:r>
        <w:rPr>
          <w:rFonts w:ascii="Arial" w:cs="Arial" w:eastAsia="Arial" w:hAnsi="Arial"/>
          <w:sz w:val="15"/>
          <w:szCs w:val="15"/>
          <w:color w:val="auto"/>
        </w:rPr>
        <w:t>Rule 13p-1 under the Securities Exchange Act (17 CFR 240.13p-1) for the reporting period from January 1, 2025 to December 31, 2025 Rule 13q-1 under the Securities Exchange Act (17 CFR 240.13q-1) for the fiscal year ended 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92710</wp:posOffset>
            </wp:positionH>
            <wp:positionV relativeFrom="paragraph">
              <wp:posOffset>-31750</wp:posOffset>
            </wp:positionV>
            <wp:extent cx="1143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ectPr>
          <w:pgSz w:w="11900" w:h="16838" w:orient="portrait"/>
          <w:cols w:equalWidth="0" w:num="1">
            <w:col w:w="10060"/>
          </w:cols>
          <w:pgMar w:left="760" w:top="1151" w:right="1079" w:bottom="1440" w:gutter="0" w:footer="0" w:header="0"/>
        </w:sectPr>
      </w:pPr>
    </w:p>
    <w:bookmarkStart w:id="1" w:name="page2"/>
    <w:bookmarkEnd w:id="1"/>
    <w:p>
      <w:pPr>
        <w:spacing w:after="0"/>
        <w:tabs>
          <w:tab w:leader="none" w:pos="98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7"/>
          <w:szCs w:val="17"/>
          <w:b w:val="1"/>
          <w:bCs w:val="1"/>
          <w:color w:val="auto"/>
        </w:rPr>
        <w:t>Conflict Minerals Disclosure</w:t>
      </w:r>
    </w:p>
    <w:p>
      <w:pPr>
        <w:spacing w:after="0" w:line="17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7"/>
          <w:szCs w:val="17"/>
          <w:b w:val="1"/>
          <w:bCs w:val="1"/>
          <w:color w:val="auto"/>
        </w:rPr>
        <w:t>Conflict Minerals Disclosure and Report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Minerals Disclosure</w:t>
      </w:r>
    </w:p>
    <w:p>
      <w:pPr>
        <w:spacing w:after="0" w:line="11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This Specialized Disclosure Report on Form SD of Kimberly-Clark Corporation is for the period from January 1, 2025 to December 31, 2025. Unless the context indicates otherwise, “Kimberly-Clark,” “we,” “us,” and “our” refer to Kimberly-Clark Corporation and its consolidated subsidiaries.</w:t>
      </w:r>
    </w:p>
    <w:p>
      <w:pPr>
        <w:spacing w:after="0" w:line="6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2025, certain of our operations manufactured, or contracted to manufacture, products for which 3TGs (as defined below) are necessary to their functionality or production (“Covered Products”). The term “3TGs” refers to columbite-tantalite (coltan), cassiterite, gold, wolframite or their derivatives, which are limited to tantalum, tin and tungsten. Accordingly, we have conducted a reasonable country of origin inquiry (“RCOI”) that was designed to determine whether any of the 3TGs in our Covered Products originated in the Democratic Republic of the Congo or an adjoining country (Angola, Burundi, the Central African Republic, the Republic of the Congo, Rwanda, South Sudan, Tanzania, Uganda or Zambia), or were from recycled or scrap sources.</w:t>
      </w:r>
    </w:p>
    <w:p>
      <w:pPr>
        <w:spacing w:after="0" w:line="7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 xml:space="preserve">Information about our RCOI, as well as the steps we have taken to exercise due diligence on the source and chain of custody of any 3TGs in our Covered Products, is included in our Conflict Minerals Report, which is filed as an exhibit to this Form SD. In addition, our Conflict Minerals Report is publicly available on our corporate website on the Investor tab/Corporate Governance at </w:t>
      </w:r>
      <w:r>
        <w:rPr>
          <w:rFonts w:ascii="Arial" w:cs="Arial" w:eastAsia="Arial" w:hAnsi="Arial"/>
          <w:sz w:val="18"/>
          <w:szCs w:val="18"/>
          <w:u w:val="single" w:color="auto"/>
          <w:color w:val="auto"/>
        </w:rPr>
        <w:t>https://www.kimberly-clark.com/en-us/investors/corporate-governance</w:t>
      </w:r>
      <w:r>
        <w:rPr>
          <w:rFonts w:ascii="Arial" w:cs="Arial" w:eastAsia="Arial" w:hAnsi="Arial"/>
          <w:sz w:val="18"/>
          <w:szCs w:val="18"/>
          <w:color w:val="auto"/>
        </w:rPr>
        <w:t xml:space="preserve"> (see Conflict Minerals).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1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This Specialized Disclosure Report on Form SD, including the Conflict Minerals Report exhibit, contains forward-looking statements that are based upon management’s expectations and beliefs concerning future events impacting Kimberly-Clark. Certain matters contained herein concerning the future, including risk mitigation steps, constitute forward-looking statements and are based upon management's expectations and beliefs. There can be no assurance that these future events will occur as anticipated.</w:t>
      </w:r>
    </w:p>
    <w:p>
      <w:pPr>
        <w:spacing w:after="0" w:line="6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Forward-looking statements speak only as of the date they were made, and we undertake no obligation to publicly update them. For a description of certain factors that could cause our future results to differ materially from those expressed in any forward-looking statement, see Item 1A entitled “Risk Factors” in our Annual Report on Form 10-K for the year ended December 31, 2025.</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Due Diligence Procedures</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downstream purchaser of 3TGs, or components containing 3TGs, our due diligence procedures can provide only reasonable, not absolute, assurance regarding the source and chain of custody of such materials. Our due diligence processes are based on the necessity of seeking data from our direct suppliers and those suppliers seeking similar information within their supply chains to identify the original sources of 3TGs. We also rely, to a large extent, on information collected and provided by third parties. Such sources of information may yield inaccurate or incomplete information and may be subject to fraud.</w:t>
      </w:r>
    </w:p>
    <w:p>
      <w:pPr>
        <w:spacing w:after="0" w:line="1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7"/>
          <w:szCs w:val="17"/>
          <w:b w:val="1"/>
          <w:bCs w:val="1"/>
          <w:color w:val="auto"/>
        </w:rPr>
        <w:t>Exhibit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filed our Conflict Minerals Report as Exhibit 1.01 to this Form SD.</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7"/>
          <w:szCs w:val="17"/>
          <w:b w:val="1"/>
          <w:bCs w:val="1"/>
          <w:color w:val="auto"/>
        </w:rPr>
        <w:t>Resource Extraction Issuer Disclosure</w:t>
      </w:r>
    </w:p>
    <w:p>
      <w:pPr>
        <w:spacing w:after="0" w:line="17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7"/>
          <w:szCs w:val="17"/>
          <w:b w:val="1"/>
          <w:bCs w:val="1"/>
          <w:color w:val="auto"/>
        </w:rPr>
        <w:t>Resource Extraction Issuer Disclosure and Report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7"/>
          <w:szCs w:val="17"/>
          <w:b w:val="1"/>
          <w:bCs w:val="1"/>
          <w:color w:val="auto"/>
        </w:rPr>
        <w:t>Exhibits</w:t>
      </w:r>
    </w:p>
    <w:p>
      <w:pPr>
        <w:spacing w:after="0" w:line="17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3.01</w:t>
      </w:r>
      <w:r>
        <w:rPr>
          <w:sz w:val="20"/>
          <w:szCs w:val="20"/>
          <w:color w:val="auto"/>
        </w:rPr>
        <w:tab/>
      </w:r>
      <w:r>
        <w:rPr>
          <w:rFonts w:ascii="Arial" w:cs="Arial" w:eastAsia="Arial" w:hAnsi="Arial"/>
          <w:sz w:val="17"/>
          <w:szCs w:val="17"/>
          <w:b w:val="1"/>
          <w:bCs w:val="1"/>
          <w:color w:val="auto"/>
        </w:rPr>
        <w:t>Exhibits</w:t>
      </w:r>
    </w:p>
    <w:p>
      <w:pPr>
        <w:spacing w:after="0" w:line="17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 1.01</w:t>
      </w:r>
      <w:r>
        <w:rPr>
          <w:sz w:val="20"/>
          <w:szCs w:val="20"/>
          <w:color w:val="auto"/>
        </w:rPr>
        <w:tab/>
      </w:r>
      <w:r>
        <w:rPr>
          <w:rFonts w:ascii="Arial" w:cs="Arial" w:eastAsia="Arial" w:hAnsi="Arial"/>
          <w:sz w:val="18"/>
          <w:szCs w:val="18"/>
          <w:u w:val="single" w:color="auto"/>
          <w:color w:val="0000FF"/>
        </w:rPr>
        <w:t>Conflict Minerals Report as required by Items 1.01 and 1.02 of Form SD</w:t>
      </w:r>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931" w:right="35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KIMBERLY-CLARK CORPORATION</w:t>
      </w:r>
    </w:p>
    <w:p>
      <w:pPr>
        <w:spacing w:after="0" w:line="293" w:lineRule="exact"/>
        <w:rPr>
          <w:sz w:val="20"/>
          <w:szCs w:val="20"/>
          <w:color w:val="auto"/>
        </w:rPr>
      </w:pPr>
    </w:p>
    <w:p>
      <w:pPr>
        <w:ind w:left="80"/>
        <w:spacing w:after="0"/>
        <w:tabs>
          <w:tab w:leader="none" w:pos="780" w:val="left"/>
          <w:tab w:leader="none" w:pos="7460" w:val="left"/>
          <w:tab w:leader="none" w:pos="7920" w:val="left"/>
        </w:tabs>
        <w:rPr>
          <w:sz w:val="20"/>
          <w:szCs w:val="20"/>
          <w:color w:val="auto"/>
        </w:rPr>
      </w:pPr>
      <w:r>
        <w:rPr>
          <w:rFonts w:ascii="Arial" w:cs="Arial" w:eastAsia="Arial" w:hAnsi="Arial"/>
          <w:sz w:val="18"/>
          <w:szCs w:val="18"/>
          <w:color w:val="auto"/>
        </w:rPr>
        <w:t>Date:</w:t>
        <w:tab/>
        <w:t>May 22,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Tamera Fenske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17780</wp:posOffset>
            </wp:positionV>
            <wp:extent cx="2117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30"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Tamera Fenske</w:t>
      </w:r>
    </w:p>
    <w:p>
      <w:pPr>
        <w:spacing w:after="0" w:line="27"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Senior Vice President and Chief Supply</w:t>
      </w:r>
    </w:p>
    <w:p>
      <w:pPr>
        <w:spacing w:after="0" w:line="9"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Chain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1349" w:right="459" w:bottom="1440" w:gutter="0" w:footer="0" w:header="0"/>
        </w:sectPr>
      </w:pPr>
    </w:p>
    <w:bookmarkStart w:id="3" w:name="page4"/>
    <w:bookmarkEnd w:id="3"/>
    <w:p>
      <w:pPr>
        <w:ind w:left="10160"/>
        <w:spacing w:after="0"/>
        <w:rPr>
          <w:sz w:val="20"/>
          <w:szCs w:val="20"/>
          <w:color w:val="auto"/>
        </w:rPr>
      </w:pPr>
      <w:r>
        <w:rPr>
          <w:rFonts w:ascii="Arial" w:cs="Arial" w:eastAsia="Arial" w:hAnsi="Arial"/>
          <w:sz w:val="18"/>
          <w:szCs w:val="18"/>
          <w:b w:val="1"/>
          <w:bCs w:val="1"/>
          <w:color w:val="auto"/>
        </w:rPr>
        <w:t>Exhibit 1.01</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Kimberly-Clark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Conflict Minerals Report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2025</w:t>
      </w:r>
    </w:p>
    <w:p>
      <w:pPr>
        <w:spacing w:after="0" w:line="20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This Conflict Minerals Report of Kimberly-Clark Corporation has been prepared for the period from January 1, 2025 to December 31, 2025. Unless the context indicates otherwise, “Kimberly-Clark,” “we,” “us” and “our” refer to Kimberly-Clark Corporation and its consolidated subsidiaries.</w:t>
      </w:r>
    </w:p>
    <w:p>
      <w:pPr>
        <w:spacing w:after="0" w:line="6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2025, certain of our operations manufactured, or contracted to manufacture, products for which 3TGs (as defined below) are necessary to their functionality or production (“Covered Products”). The term “3TGs” refers to columbite-tantalite (coltan), cassiterite, gold, wolframite or their derivatives, which are limited to tantalum, tin and tungsten. The vast majority of our products do not contain 3TGs and our revenue from sales of Covered Products in 2025 was immaterial relative to our total net sales. In 2025, we manufactured or contracted for manufacture Covered Products primarily through our professional product categories. We have no reason to believe that any of the Covered Products are in our consumer product categories.</w:t>
      </w:r>
    </w:p>
    <w:p>
      <w:pPr>
        <w:spacing w:after="0" w:line="7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Electronic components account for a significant majority of any 3TGs present in our Covered Products. Electronic components commonly contain 3TGs for a variety of reasons (for example tin is usually present in solder). The Covered Products include dispensers (e.g., for hand sanitizers, soaps and paper products) which contain electronic sensors and actuators.</w:t>
      </w:r>
    </w:p>
    <w:p>
      <w:pPr>
        <w:spacing w:after="0" w:line="6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developed a conflict minerals compliance program reasonably designed to identify whether the 3TGs in our Covered Products originated in the Democratic Republic of the Congo (“DRC”) or an adjoining country (Angola, Burundi, the Central African Republic, the Republic of the Congo, Rwanda, South Sudan, Tanzania, Uganda or Zambia) (collectively, the “Covered Countries”), or whether any of the 3TGs in our Covered Products are from recycled or scrap sources. Our conflict minerals compliance program is overseen by an internal team of subject matter experts from key functions (“Core Team”).</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Our Reasonable Country of Origin Inquiry</w:t>
      </w:r>
    </w:p>
    <w:p>
      <w:pPr>
        <w:spacing w:after="0" w:line="117"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We have conducted a reasonable country of origin inquiry (“RCOI”) that was designed to determine whether any of the 3TGs in our Covered Products originated from one of the Covered Countries or was from recycled or scrap sources.</w:t>
      </w:r>
    </w:p>
    <w:p>
      <w:pPr>
        <w:spacing w:after="0" w:line="4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conducting our RCOI, we used a risk-based approach. First, we identified our product materials which contain or potentially contain 3TGs necessary to their functionality or production. Second, we identified the direct suppliers of the materials, components and finished goods supplied to us for those products. Third, we risk-stratified each supplier’s “materials risk” based on the likelihood that the product materials they supply to us contain 3TGs. Fourth, we conducted a supply chain survey of our direct suppliers to provide information on the origin of any 3TGs contained in materials supplied to us in our Covered Products, including sources of 3TGs supplied to these direct suppliers from second-tier suppliers, as well as suppliers further upstream.</w:t>
      </w:r>
    </w:p>
    <w:p>
      <w:pPr>
        <w:spacing w:after="0" w:line="7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survey included those suppliers rated with a materials risk of high risk and medium risk. We have determined that it is not necessary to survey our low risk and very low risk rated suppliers, based on a sampling program we conducted in past years in which we surveyed certain of these suppliers. This sampling program allowed us to confirm that the materials associated with our low risk and very low risk suppliers do not contain 3TGs.</w:t>
      </w:r>
    </w:p>
    <w:p>
      <w:pPr>
        <w:spacing w:after="0" w:line="68"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Our supply chain survey employed an industry-standard Conflict Minerals Reporting Template (the “CMRT”) developed by the Responsible Minerals Initiative of the Responsible Business Alliance (“RMI”). The CMRT was developed to facilitate general disclosures and information regarding smelters and refiners that provide materials to the supplier. It includes questions regarding the supplier’s conflict-free minerals policy, the engagement process with its direct suppliers and identification of the smelters and refiners used by the supplier.</w:t>
      </w:r>
    </w:p>
    <w:p>
      <w:pPr>
        <w:spacing w:after="0" w:line="6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As of May 19, 2026, 100% of our direct suppliers included in the supply chain survey have responded with a completed CMRT or acceptable declaration. We compared the list of smelters and refiners provided in our suppliers’ responses to the lists maintained by the RMI and, if a supplier indicated that a facility was certified as conformant, confirmed that the facility was listed on the RMI’s list of smelters or refiners that are conformant with the Responsible Minerals Assurance Process (“RMAP”) assessment protocols. For suppliers that were not listed as RMAP conformant we checked their status under other internationally recognized programs such as the London Bullion Market Association Good Delivery program (“LBMA”) and the Responsible Jewelry Council Chain-of-Custody Certification program (“RJC”). One supplier indicated that its supply chain may include up to five smelters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971" w:right="359" w:bottom="1440" w:gutter="0" w:footer="0" w:header="0"/>
        </w:sectPr>
      </w:pPr>
    </w:p>
    <w:bookmarkStart w:id="4" w:name="page5"/>
    <w:bookmarkEnd w:id="4"/>
    <w:p>
      <w:pPr>
        <w:ind w:right="20"/>
        <w:spacing w:after="0" w:line="262" w:lineRule="auto"/>
        <w:rPr>
          <w:sz w:val="20"/>
          <w:szCs w:val="20"/>
          <w:color w:val="auto"/>
        </w:rPr>
      </w:pPr>
      <w:r>
        <w:rPr>
          <w:rFonts w:ascii="Arial" w:cs="Arial" w:eastAsia="Arial" w:hAnsi="Arial"/>
          <w:sz w:val="18"/>
          <w:szCs w:val="18"/>
          <w:color w:val="auto"/>
        </w:rPr>
        <w:t>that potentially could be sourcing from the Covered Countries; however, we have validated in the due diligence process described below that these smelters have been certified as RMAP conformant. Many of the supplier responses were unable to specify all smelters or refiners used for materials supplied to us. Furthermore, many of the responses were provided at the company or division level, rather than the product level, and therefore, their list of smelters and refiners cannot be definitively linked to the products they provided to us.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 Process</w:t>
      </w:r>
    </w:p>
    <w:p>
      <w:pPr>
        <w:spacing w:after="0" w:line="117"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Following our RCOI, we conducted a due diligence review of the source and chain of custody of the 3TGs contained in our Covered Products. Our due diligence measures were designed to conform in all material respects with the framework in the Organization for Economic Co-operation and Development (“OECD”) Due Diligence Guidance for Responsible Supply Chains of Minerals from Conflict-Affected and High-Risk Areas and the related Supplements for gold and for tin, tantalum and tungsten.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Systems and Controls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Internal Team</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have a centralized, cross-functional conflict minerals Core Team to oversee the implementation and daily administration of the program, which includes geographically diverse representation from the following departments: Procurement; Legal; and Environmental, Health, Safety</w:t>
      </w:r>
    </w:p>
    <w:p>
      <w:pPr>
        <w:ind w:right="640" w:firstLine="8"/>
        <w:spacing w:after="0" w:line="266" w:lineRule="auto"/>
        <w:tabs>
          <w:tab w:leader="none" w:pos="17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Sustainability. The Core Team periodically reports to senior management on program developments and progress. Our Senior Vice President and Chief Supply Chain Officer serves as the executive sponsor of the Conflict Minerals Compliance program.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Control Systems</w:t>
      </w:r>
    </w:p>
    <w:p>
      <w:pPr>
        <w:spacing w:after="0" w:line="117" w:lineRule="exact"/>
        <w:rPr>
          <w:sz w:val="20"/>
          <w:szCs w:val="20"/>
          <w:color w:val="auto"/>
        </w:rPr>
      </w:pPr>
    </w:p>
    <w:p>
      <w:pPr>
        <w:ind w:right="220"/>
        <w:spacing w:after="0" w:line="232" w:lineRule="exact"/>
        <w:rPr>
          <w:sz w:val="20"/>
          <w:szCs w:val="20"/>
          <w:color w:val="auto"/>
        </w:rPr>
      </w:pPr>
      <w:r>
        <w:rPr>
          <w:rFonts w:ascii="Arial" w:cs="Arial" w:eastAsia="Arial" w:hAnsi="Arial"/>
          <w:sz w:val="18"/>
          <w:szCs w:val="18"/>
          <w:color w:val="auto"/>
        </w:rPr>
        <w:t xml:space="preserve">We address 3TGs sourced from the Covered Countries in our Supplier Social Compliance Standards and our Supplier Stewardship Standards, which are embedded in our Purchase Order Terms and Conditions and certain of our supplier agreements, as well as posted in the Suppliers section of our website: </w:t>
      </w:r>
      <w:r>
        <w:rPr>
          <w:rFonts w:ascii="Arial" w:cs="Arial" w:eastAsia="Arial" w:hAnsi="Arial"/>
          <w:sz w:val="18"/>
          <w:szCs w:val="18"/>
          <w:color w:val="0563C1"/>
        </w:rPr>
        <w:t>http://www.kimberly</w:t>
      </w:r>
      <w:r>
        <w:rPr>
          <w:rFonts w:ascii="MS PGothic" w:cs="MS PGothic" w:eastAsia="MS PGothic" w:hAnsi="MS PGothic"/>
          <w:sz w:val="18"/>
          <w:szCs w:val="18"/>
          <w:color w:val="0563C1"/>
        </w:rPr>
        <w:t>‑</w:t>
      </w:r>
      <w:r>
        <w:rPr>
          <w:rFonts w:ascii="Arial" w:cs="Arial" w:eastAsia="Arial" w:hAnsi="Arial"/>
          <w:sz w:val="18"/>
          <w:szCs w:val="18"/>
          <w:color w:val="0563C1"/>
        </w:rPr>
        <w:t>clark.com</w:t>
      </w:r>
      <w:r>
        <w:rPr>
          <w:rFonts w:ascii="Arial" w:cs="Arial" w:eastAsia="Arial" w:hAnsi="Arial"/>
          <w:sz w:val="18"/>
          <w:szCs w:val="18"/>
          <w:color w:val="auto"/>
        </w:rPr>
        <w:t>.</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suppliers are required to source responsibly and adhere to our Supplier Social Compliance Standards, which require suppliers to source 3TGs from smelters and refiners who source outside of the Covered Countries or that are designated as “conformant” by the RMI. We engage independent third-party audit firms to conduct Supplier Social Compliance audits (on-site inspections) of suppliers of certain commodity categories, particularly contract manufacturers. If an assessment reveals that the supplier is in violation of our Supplier Social Compliance Standards, we require that the supplier submit documentation showing that violations have been addressed and remediated. We conduct additional follow-up audits at our discretion to confirm compliance with our Supplier Social Compliance Standards. Any concerns regarding suppliers or our compliance program can be reported to our Corporate Social Compliance team as specified on our Corporate Social Compliance website. During 2025, we conducted 164 supplier audits of our sites &amp; suppliers.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Supplier Engagement</w:t>
      </w:r>
    </w:p>
    <w:p>
      <w:pPr>
        <w:spacing w:after="0" w:line="117"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We rely on our direct (tier one) suppliers to provide information on the origin of the 3TGs contained in components and materials supplied to us - including sources of 3TGs that are supplied to them from upstream suppliers.</w:t>
      </w:r>
    </w:p>
    <w:p>
      <w:pPr>
        <w:spacing w:after="0" w:line="4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In addition, we conduct periodic in-house training of our Procurement function to educate employees to identify 3TGs in products and to work more closely with our suppliers to encourage responsible sourcing.</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Grievance Mechanism</w:t>
      </w:r>
    </w:p>
    <w:p>
      <w:pPr>
        <w:spacing w:after="0" w:line="158"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color w:val="auto"/>
        </w:rPr>
        <w:t>We maintain a comprehensive and multi-faceted system for the reporting of Code of Conduct violations, concerns and grievances. To ensure that every employee (and every stakeholder) has the ability to report concerns on an anonymous basis, we have established a Code of</w:t>
      </w:r>
    </w:p>
    <w:p>
      <w:pPr>
        <w:spacing w:after="0"/>
        <w:rPr>
          <w:sz w:val="20"/>
          <w:szCs w:val="20"/>
          <w:color w:val="auto"/>
        </w:rPr>
      </w:pPr>
      <w:r>
        <w:rPr>
          <w:rFonts w:ascii="Arial" w:cs="Arial" w:eastAsia="Arial" w:hAnsi="Arial"/>
          <w:sz w:val="18"/>
          <w:szCs w:val="18"/>
          <w:color w:val="auto"/>
        </w:rPr>
        <w:t>Conduct telephone helpline which is staffed by a professional independent company. This line is available 24 hours a day, 365 days a year,</w:t>
      </w:r>
    </w:p>
    <w:p>
      <w:pPr>
        <w:spacing w:after="0" w:line="5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and one can give a report in one of multiple available languages. Our Code of Conduct, as well as the reporting process and helpline contact information, is available on our external website.</w:t>
      </w:r>
    </w:p>
    <w:p>
      <w:pPr>
        <w:spacing w:after="0" w:line="4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Calls are investigated by various internal subject matter experts in our Compliance, Internal Audit, Global Security, Human Resources and Legal departments. We report summary results and statistics to our executive leadership and our Board of Directors as deemed appropriate.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Maintenance of Records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adopted a policy to retain relevant documentation for a minimum of five years.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1012"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Identify and Assess Risk in the Supply Chain</w:t>
      </w:r>
    </w:p>
    <w:p>
      <w:pPr>
        <w:spacing w:after="0" w:line="117"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As part of our due diligence process, we reviewed our suppliers’ responses to the supply chain survey against criteria developed to determine which responses required further engagement. These criteria included untimely or incomplete responses, as well as inconsistencies within the reported data.</w:t>
      </w:r>
    </w:p>
    <w:p>
      <w:pPr>
        <w:spacing w:after="0" w:line="6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Certain of the responses to the surveys included the names of facilities listed by the suppliers as smelters or refiners. We compared each facility listed in the responses to the lists of smelters and refiners maintained by the RMI to verify the existence of the facility and to determine whether the facility is certified as conformant with the RMAP assessment protocols.</w:t>
      </w:r>
    </w:p>
    <w:p>
      <w:pPr>
        <w:spacing w:after="0" w:line="6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classify each listed smelter or refiner as high, medium or low risk based on three scoring criteria: geographic proximity to the Covered Countries, Conflict-Free Sourcing Program audit status and known or plausible evidence of unethical or conflict sourcing. Based on these criteria, we have identified no facilities as being high risk. When a supplier reports a high risk facility on a CMRT, we initiate risk mitigation activities. When CMRT responses include any high or medium risk facilities, we request the supplier to provide a product-specific CMRT to better identify any connection between the subject facilities and the products supplied to us.</w:t>
      </w:r>
    </w:p>
    <w:p>
      <w:pPr>
        <w:spacing w:after="0" w:line="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If any smelter or refiner is not recognized by the RMI, we conduct outreach and research to gain more information about whether they are a smelter or a refiner, sourcing practices, location, and country of origin. Additionally, if any smelter is not certified conformant, we conduct outreach providing education on the Conflict-Free Smelter Program and encourage them to join this program.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 and Implement a Strategy to Respond to Identified Risks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developed a risk management plan that includes the following elements:</w:t>
      </w:r>
    </w:p>
    <w:p>
      <w:pPr>
        <w:spacing w:after="0" w:line="117" w:lineRule="exact"/>
        <w:rPr>
          <w:sz w:val="20"/>
          <w:szCs w:val="20"/>
          <w:color w:val="auto"/>
        </w:rPr>
      </w:pPr>
    </w:p>
    <w:p>
      <w:pPr>
        <w:ind w:left="660" w:right="122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Communication directly with our suppliers of our conflict minerals requirements under our Supplier Social Compliance Standards, as described above.</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Communication with suppliers who do not satisfy our due diligence requests to obtain more complete and accurate responses.</w:t>
      </w:r>
    </w:p>
    <w:p>
      <w:pPr>
        <w:spacing w:after="0" w:line="117" w:lineRule="exact"/>
        <w:rPr>
          <w:rFonts w:ascii="Arial" w:cs="Arial" w:eastAsia="Arial" w:hAnsi="Arial"/>
          <w:sz w:val="18"/>
          <w:szCs w:val="18"/>
          <w:color w:val="auto"/>
        </w:rPr>
      </w:pPr>
    </w:p>
    <w:p>
      <w:pPr>
        <w:ind w:left="660" w:right="112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Additional follow up, due diligence, and/or risk mitigation activities, as appropriate, upon learning of changes in supplier circumstances or information.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Carry Out Independent Third-Party Audit of Supply Chain Due Diligence at Identified Points in the Supply Chain</w:t>
      </w:r>
    </w:p>
    <w:p>
      <w:pPr>
        <w:spacing w:after="0" w:line="117"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We do not typically have a direct relationship with 3TG smelters and refiners, and we do not perform or direct audits of these entities within our supply chain.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Annually on Supply Chain Due Diligence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report annually on supply chain due diligence by filing a Form SD and a Conflict Minerals Report with the SEC.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 Results</w:t>
      </w:r>
    </w:p>
    <w:p>
      <w:pPr>
        <w:spacing w:after="0" w:line="11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Attachment A lists the 255 legitimate smelters and refiners that the suppliers we surveyed reported as being in their supply chains and indicates which of these smelters and refiners have been certified as RMAP Conformant. The majority of the responses received either provided data at a company or divisional level or did not specify the smelters or refiners used for materials supplied to us. We are therefore unable to determine whether the smelters or refiners reported by certain suppliers processed the 3TGs in the materials supplied to us or to validate that any of these smelters or refiners are actually in our supply chain. Attachment B contains an aggregated list of the countries of origin from which the reported facilities collectively source conflict minerals, based on information provided by suppliers and publicly by the RMI.</w:t>
      </w:r>
    </w:p>
    <w:p>
      <w:pPr>
        <w:spacing w:after="0" w:line="7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believe that the inquiries and investigations described above represent a reasonable effort to determine the mines or locations of origin of the 3TGs in our Covered Products with the greatest possible specificity, including (1) seeking information about 3TG smelters and refiners in our supply chain through requesting that our suppliers complete the CMRT, (2) verifying those smelters and refiners using the RMI list, (3) conducting the due diligence review, and (4) obtaining additional documentation and verification, as applicable.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This Report has not been audited, nor is an independent private sector audit required for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1012"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Risk Mitigation and Due Diligence Improvement</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have taken or intend to take the following steps to further mitigate the risk that the 3TGs in our Covered Products could benefit armed groups in the Covered Countries:</w:t>
      </w:r>
    </w:p>
    <w:p>
      <w:pPr>
        <w:spacing w:after="0" w:line="45" w:lineRule="exact"/>
        <w:rPr>
          <w:sz w:val="20"/>
          <w:szCs w:val="20"/>
          <w:color w:val="auto"/>
        </w:rPr>
      </w:pPr>
    </w:p>
    <w:p>
      <w:pPr>
        <w:ind w:left="660" w:right="38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 to review the refinement and expansion of the RMI list of smelters and refiners to validate the smelters and refiners provided by suppliers.</w:t>
      </w:r>
    </w:p>
    <w:p>
      <w:pPr>
        <w:spacing w:after="0" w:line="44" w:lineRule="exact"/>
        <w:rPr>
          <w:rFonts w:ascii="Arial" w:cs="Arial" w:eastAsia="Arial" w:hAnsi="Arial"/>
          <w:sz w:val="18"/>
          <w:szCs w:val="18"/>
          <w:color w:val="auto"/>
        </w:rPr>
      </w:pPr>
    </w:p>
    <w:p>
      <w:pPr>
        <w:ind w:left="660" w:righ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Provide continuing education of the Core Team and stakeholders on their on-going responsibilities with respect to conflict minerals compliance and any legislative or organizational developments.</w:t>
      </w:r>
    </w:p>
    <w:p>
      <w:pPr>
        <w:spacing w:after="0" w:line="44" w:lineRule="exact"/>
        <w:rPr>
          <w:rFonts w:ascii="Arial" w:cs="Arial" w:eastAsia="Arial" w:hAnsi="Arial"/>
          <w:sz w:val="18"/>
          <w:szCs w:val="18"/>
          <w:color w:val="auto"/>
        </w:rPr>
      </w:pPr>
    </w:p>
    <w:p>
      <w:pPr>
        <w:ind w:left="660" w:right="2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Encourage suppliers that provided company or division level information for 2025 to provide product level information for 2026 through ongoing communications with these suppliers.</w:t>
      </w:r>
    </w:p>
    <w:p>
      <w:pPr>
        <w:spacing w:after="0" w:line="44" w:lineRule="exact"/>
        <w:rPr>
          <w:rFonts w:ascii="Arial" w:cs="Arial" w:eastAsia="Arial" w:hAnsi="Arial"/>
          <w:sz w:val="18"/>
          <w:szCs w:val="18"/>
          <w:color w:val="auto"/>
        </w:rPr>
      </w:pPr>
    </w:p>
    <w:p>
      <w:pPr>
        <w:ind w:left="660" w:right="42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a global supplier screening program that requires our suppliers to provide information regarding 3TGs and requires each new in-scope direct supplier we add to our supply chain to provide a completed CMRT.</w:t>
      </w:r>
    </w:p>
    <w:p>
      <w:pPr>
        <w:spacing w:after="0" w:line="200" w:lineRule="exact"/>
        <w:rPr>
          <w:sz w:val="20"/>
          <w:szCs w:val="20"/>
          <w:color w:val="auto"/>
        </w:rPr>
      </w:pPr>
    </w:p>
    <w:p>
      <w:pPr>
        <w:spacing w:after="0" w:line="27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320" w:top="1012" w:right="6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Attachment A</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2025 Facility List</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lists the smelters and refiners that the suppliers we surveyed reported as being in their supply chains and indicates which of these smelters and refiners have been certified as conformant by RMI or are recognized by LBMA and/or RJC.</w:t>
      </w:r>
    </w:p>
    <w:p>
      <w:pPr>
        <w:spacing w:after="0" w:line="35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rPr>
              <w:t>RMI Conformance Level</w:t>
            </w:r>
          </w:p>
        </w:tc>
        <w:tc>
          <w:tcPr>
            <w:tcW w:w="0" w:type="dxa"/>
            <w:vAlign w:val="bottom"/>
          </w:tcPr>
          <w:p>
            <w:pPr>
              <w:spacing w:after="0"/>
              <w:rPr>
                <w:sz w:val="1"/>
                <w:szCs w:val="1"/>
                <w:color w:val="auto"/>
              </w:rPr>
            </w:pPr>
          </w:p>
        </w:tc>
      </w:tr>
      <w:tr>
        <w:trPr>
          <w:trHeight w:val="184"/>
        </w:trPr>
        <w:tc>
          <w:tcPr>
            <w:tcW w:w="122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rPr>
              <w:t>Metal</w:t>
            </w:r>
          </w:p>
        </w:tc>
        <w:tc>
          <w:tcPr>
            <w:tcW w:w="4200" w:type="dxa"/>
            <w:vAlign w:val="bottom"/>
            <w:gridSpan w:val="2"/>
            <w:vMerge w:val="restart"/>
          </w:tcPr>
          <w:p>
            <w:pPr>
              <w:ind w:left="1040"/>
              <w:spacing w:after="0"/>
              <w:rPr>
                <w:sz w:val="20"/>
                <w:szCs w:val="20"/>
                <w:color w:val="auto"/>
              </w:rPr>
            </w:pPr>
            <w:r>
              <w:rPr>
                <w:rFonts w:ascii="Arial" w:cs="Arial" w:eastAsia="Arial" w:hAnsi="Arial"/>
                <w:sz w:val="18"/>
                <w:szCs w:val="18"/>
                <w:b w:val="1"/>
                <w:bCs w:val="1"/>
                <w:color w:val="auto"/>
              </w:rPr>
              <w:t>Standard Smelter Name</w:t>
            </w:r>
          </w:p>
        </w:tc>
        <w:tc>
          <w:tcPr>
            <w:tcW w:w="356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9"/>
              </w:rPr>
              <w:t>Smelter Facility Location</w:t>
            </w:r>
          </w:p>
        </w:tc>
        <w:tc>
          <w:tcPr>
            <w:tcW w:w="2240" w:type="dxa"/>
            <w:vAlign w:val="bottom"/>
          </w:tcPr>
          <w:p>
            <w:pPr>
              <w:jc w:val="center"/>
              <w:spacing w:after="0" w:line="183" w:lineRule="exact"/>
              <w:rPr>
                <w:sz w:val="20"/>
                <w:szCs w:val="20"/>
                <w:color w:val="auto"/>
              </w:rPr>
            </w:pPr>
            <w:r>
              <w:rPr>
                <w:rFonts w:ascii="Arial" w:cs="Arial" w:eastAsia="Arial" w:hAnsi="Arial"/>
                <w:sz w:val="18"/>
                <w:szCs w:val="18"/>
                <w:b w:val="1"/>
                <w:bCs w:val="1"/>
                <w:color w:val="auto"/>
                <w:w w:val="99"/>
              </w:rPr>
              <w:t>or LMBA/ RJC COP or</w:t>
            </w:r>
          </w:p>
        </w:tc>
        <w:tc>
          <w:tcPr>
            <w:tcW w:w="0" w:type="dxa"/>
            <w:vAlign w:val="bottom"/>
          </w:tcPr>
          <w:p>
            <w:pPr>
              <w:spacing w:after="0"/>
              <w:rPr>
                <w:sz w:val="1"/>
                <w:szCs w:val="1"/>
                <w:color w:val="auto"/>
              </w:rPr>
            </w:pPr>
          </w:p>
        </w:tc>
      </w:tr>
      <w:tr>
        <w:trPr>
          <w:trHeight w:val="235"/>
        </w:trPr>
        <w:tc>
          <w:tcPr>
            <w:tcW w:w="1220" w:type="dxa"/>
            <w:vAlign w:val="bottom"/>
            <w:gridSpan w:val="2"/>
            <w:vMerge w:val="continue"/>
          </w:tcPr>
          <w:p>
            <w:pPr>
              <w:spacing w:after="0"/>
              <w:rPr>
                <w:sz w:val="20"/>
                <w:szCs w:val="20"/>
                <w:color w:val="auto"/>
              </w:rPr>
            </w:pPr>
          </w:p>
        </w:tc>
        <w:tc>
          <w:tcPr>
            <w:tcW w:w="4200" w:type="dxa"/>
            <w:vAlign w:val="bottom"/>
            <w:gridSpan w:val="2"/>
            <w:vMerge w:val="continue"/>
          </w:tcPr>
          <w:p>
            <w:pPr>
              <w:spacing w:after="0"/>
              <w:rPr>
                <w:sz w:val="20"/>
                <w:szCs w:val="20"/>
                <w:color w:val="auto"/>
              </w:rPr>
            </w:pPr>
          </w:p>
        </w:tc>
        <w:tc>
          <w:tcPr>
            <w:tcW w:w="3560" w:type="dxa"/>
            <w:vAlign w:val="bottom"/>
            <w:gridSpan w:val="2"/>
            <w:vMerge w:val="continue"/>
          </w:tcPr>
          <w:p>
            <w:pPr>
              <w:spacing w:after="0"/>
              <w:rPr>
                <w:sz w:val="20"/>
                <w:szCs w:val="20"/>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9"/>
              </w:rPr>
              <w:t>CoC “recognized”</w:t>
            </w:r>
          </w:p>
        </w:tc>
        <w:tc>
          <w:tcPr>
            <w:tcW w:w="0" w:type="dxa"/>
            <w:vAlign w:val="bottom"/>
          </w:tcPr>
          <w:p>
            <w:pPr>
              <w:spacing w:after="0"/>
              <w:rPr>
                <w:sz w:val="1"/>
                <w:szCs w:val="1"/>
                <w:color w:val="auto"/>
              </w:rPr>
            </w:pPr>
          </w:p>
        </w:tc>
      </w:tr>
      <w:tr>
        <w:trPr>
          <w:trHeight w:val="208"/>
        </w:trPr>
        <w:tc>
          <w:tcPr>
            <w:tcW w:w="112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rPr>
              <w:t>Tungsten</w:t>
            </w:r>
          </w:p>
        </w:tc>
        <w:tc>
          <w:tcPr>
            <w:tcW w:w="100" w:type="dxa"/>
            <w:vAlign w:val="bottom"/>
          </w:tcPr>
          <w:p>
            <w:pPr>
              <w:spacing w:after="0"/>
              <w:rPr>
                <w:sz w:val="18"/>
                <w:szCs w:val="18"/>
                <w:color w:val="auto"/>
              </w:rPr>
            </w:pPr>
          </w:p>
        </w:tc>
        <w:tc>
          <w:tcPr>
            <w:tcW w:w="410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A.L.M.T. Corp.</w:t>
            </w:r>
          </w:p>
        </w:tc>
        <w:tc>
          <w:tcPr>
            <w:tcW w:w="100" w:type="dxa"/>
            <w:vAlign w:val="bottom"/>
          </w:tcPr>
          <w:p>
            <w:pPr>
              <w:spacing w:after="0"/>
              <w:rPr>
                <w:sz w:val="18"/>
                <w:szCs w:val="18"/>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JAPAN</w:t>
            </w:r>
          </w:p>
        </w:tc>
        <w:tc>
          <w:tcPr>
            <w:tcW w:w="100" w:type="dxa"/>
            <w:vAlign w:val="bottom"/>
          </w:tcPr>
          <w:p>
            <w:pPr>
              <w:spacing w:after="0"/>
              <w:rPr>
                <w:sz w:val="18"/>
                <w:szCs w:val="18"/>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5"/>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Abington Reldan Metals, LLC</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UNITED STATES</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Advanced Chemical Company</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UNITED STATES</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Agosi AG</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rPr>
              <w:t>GERMANY</w:t>
            </w:r>
          </w:p>
        </w:tc>
        <w:tc>
          <w:tcPr>
            <w:tcW w:w="2240" w:type="dxa"/>
            <w:vAlign w:val="bottom"/>
          </w:tcPr>
          <w:p>
            <w:pPr>
              <w:jc w:val="center"/>
              <w:spacing w:after="0"/>
              <w:rPr>
                <w:sz w:val="20"/>
                <w:szCs w:val="20"/>
                <w:color w:val="auto"/>
              </w:rPr>
            </w:pPr>
            <w:r>
              <w:rPr>
                <w:rFonts w:ascii="Arial" w:cs="Arial" w:eastAsia="Arial" w:hAnsi="Arial"/>
                <w:sz w:val="16"/>
                <w:szCs w:val="16"/>
                <w:color w:val="auto"/>
              </w:rPr>
              <w:t>Recognized</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Aida Chemical Industries Co., Ltd.</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rPr>
              <w:t>JAPAN</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Almalyk Mining and Metallurgical Complex (AMMC)</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UZBEKISTAN</w:t>
            </w:r>
          </w:p>
        </w:tc>
        <w:tc>
          <w:tcPr>
            <w:tcW w:w="2240" w:type="dxa"/>
            <w:vAlign w:val="bottom"/>
          </w:tcPr>
          <w:p>
            <w:pPr>
              <w:jc w:val="center"/>
              <w:spacing w:after="0"/>
              <w:rPr>
                <w:sz w:val="20"/>
                <w:szCs w:val="20"/>
                <w:color w:val="auto"/>
              </w:rPr>
            </w:pPr>
            <w:r>
              <w:rPr>
                <w:rFonts w:ascii="Arial" w:cs="Arial" w:eastAsia="Arial" w:hAnsi="Arial"/>
                <w:sz w:val="16"/>
                <w:szCs w:val="16"/>
                <w:color w:val="auto"/>
              </w:rPr>
              <w:t>Recognized</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Alpha Assembly Solutions Inc</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UNITED STATES</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Tantalum</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AMG Brasil</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BRAZIL</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AngloGold Ashanti Corrego do Sitio Mineracao</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BRAZIL</w:t>
            </w:r>
          </w:p>
        </w:tc>
        <w:tc>
          <w:tcPr>
            <w:tcW w:w="2240" w:type="dxa"/>
            <w:vAlign w:val="bottom"/>
          </w:tcPr>
          <w:p>
            <w:pPr>
              <w:jc w:val="center"/>
              <w:spacing w:after="0"/>
              <w:rPr>
                <w:sz w:val="20"/>
                <w:szCs w:val="20"/>
                <w:color w:val="auto"/>
              </w:rPr>
            </w:pPr>
            <w:r>
              <w:rPr>
                <w:rFonts w:ascii="Arial" w:cs="Arial" w:eastAsia="Arial" w:hAnsi="Arial"/>
                <w:sz w:val="16"/>
                <w:szCs w:val="16"/>
                <w:color w:val="auto"/>
              </w:rPr>
              <w:t>Recognized</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Argor-Heraeus S.A.</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rPr>
              <w:t>SWITZERLAND</w:t>
            </w:r>
          </w:p>
        </w:tc>
        <w:tc>
          <w:tcPr>
            <w:tcW w:w="2240" w:type="dxa"/>
            <w:vAlign w:val="bottom"/>
          </w:tcPr>
          <w:p>
            <w:pPr>
              <w:jc w:val="center"/>
              <w:spacing w:after="0"/>
              <w:rPr>
                <w:sz w:val="20"/>
                <w:szCs w:val="20"/>
                <w:color w:val="auto"/>
              </w:rPr>
            </w:pPr>
            <w:r>
              <w:rPr>
                <w:rFonts w:ascii="Arial" w:cs="Arial" w:eastAsia="Arial" w:hAnsi="Arial"/>
                <w:sz w:val="16"/>
                <w:szCs w:val="16"/>
                <w:color w:val="auto"/>
              </w:rPr>
              <w:t>Recognized</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Asahi Pretec Corp.</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rPr>
              <w:t>JAPAN</w:t>
            </w:r>
          </w:p>
        </w:tc>
        <w:tc>
          <w:tcPr>
            <w:tcW w:w="2240" w:type="dxa"/>
            <w:vAlign w:val="bottom"/>
          </w:tcPr>
          <w:p>
            <w:pPr>
              <w:jc w:val="center"/>
              <w:spacing w:after="0"/>
              <w:rPr>
                <w:sz w:val="20"/>
                <w:szCs w:val="20"/>
                <w:color w:val="auto"/>
              </w:rPr>
            </w:pPr>
            <w:r>
              <w:rPr>
                <w:rFonts w:ascii="Arial" w:cs="Arial" w:eastAsia="Arial" w:hAnsi="Arial"/>
                <w:sz w:val="16"/>
                <w:szCs w:val="16"/>
                <w:color w:val="auto"/>
              </w:rPr>
              <w:t>Recognized</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Asahi Refining Canada Ltd.</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rPr>
              <w:t>CANADA</w:t>
            </w:r>
          </w:p>
        </w:tc>
        <w:tc>
          <w:tcPr>
            <w:tcW w:w="2240" w:type="dxa"/>
            <w:vAlign w:val="bottom"/>
          </w:tcPr>
          <w:p>
            <w:pPr>
              <w:jc w:val="center"/>
              <w:spacing w:after="0"/>
              <w:rPr>
                <w:sz w:val="20"/>
                <w:szCs w:val="20"/>
                <w:color w:val="auto"/>
              </w:rPr>
            </w:pPr>
            <w:r>
              <w:rPr>
                <w:rFonts w:ascii="Arial" w:cs="Arial" w:eastAsia="Arial" w:hAnsi="Arial"/>
                <w:sz w:val="16"/>
                <w:szCs w:val="16"/>
                <w:color w:val="auto"/>
              </w:rPr>
              <w:t>Recognized</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Asahi Refining USA Inc.</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UNITED STATES</w:t>
            </w:r>
          </w:p>
        </w:tc>
        <w:tc>
          <w:tcPr>
            <w:tcW w:w="2240" w:type="dxa"/>
            <w:vAlign w:val="bottom"/>
          </w:tcPr>
          <w:p>
            <w:pPr>
              <w:jc w:val="center"/>
              <w:spacing w:after="0"/>
              <w:rPr>
                <w:sz w:val="20"/>
                <w:szCs w:val="20"/>
                <w:color w:val="auto"/>
              </w:rPr>
            </w:pPr>
            <w:r>
              <w:rPr>
                <w:rFonts w:ascii="Arial" w:cs="Arial" w:eastAsia="Arial" w:hAnsi="Arial"/>
                <w:sz w:val="16"/>
                <w:szCs w:val="16"/>
                <w:color w:val="auto"/>
              </w:rPr>
              <w:t>Recognized</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Asaka Riken Co., Ltd.</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rPr>
              <w:t>JAPAN</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Tungsten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Asia Tungsten Products Vietnam Ltd.</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rPr>
              <w:t>VIETNAM</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Aurubis AG</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rPr>
              <w:t>GERMANY</w:t>
            </w:r>
          </w:p>
        </w:tc>
        <w:tc>
          <w:tcPr>
            <w:tcW w:w="2240" w:type="dxa"/>
            <w:vAlign w:val="bottom"/>
          </w:tcPr>
          <w:p>
            <w:pPr>
              <w:jc w:val="center"/>
              <w:spacing w:after="0"/>
              <w:rPr>
                <w:sz w:val="20"/>
                <w:szCs w:val="20"/>
                <w:color w:val="auto"/>
              </w:rPr>
            </w:pPr>
            <w:r>
              <w:rPr>
                <w:rFonts w:ascii="Arial" w:cs="Arial" w:eastAsia="Arial" w:hAnsi="Arial"/>
                <w:sz w:val="16"/>
                <w:szCs w:val="16"/>
                <w:color w:val="auto"/>
              </w:rPr>
              <w:t>Recognized</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Aurubis Beerse</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BELGIUM</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Aurubis Berango</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SPAIN</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Bangalore Refinery</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rPr>
              <w:t>INDIA</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Boliden Ronnskar</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rPr>
              <w:t>SWEDEN</w:t>
            </w:r>
          </w:p>
        </w:tc>
        <w:tc>
          <w:tcPr>
            <w:tcW w:w="2240" w:type="dxa"/>
            <w:vAlign w:val="bottom"/>
          </w:tcPr>
          <w:p>
            <w:pPr>
              <w:jc w:val="center"/>
              <w:spacing w:after="0"/>
              <w:rPr>
                <w:sz w:val="20"/>
                <w:szCs w:val="20"/>
                <w:color w:val="auto"/>
              </w:rPr>
            </w:pPr>
            <w:r>
              <w:rPr>
                <w:rFonts w:ascii="Arial" w:cs="Arial" w:eastAsia="Arial" w:hAnsi="Arial"/>
                <w:sz w:val="16"/>
                <w:szCs w:val="16"/>
                <w:color w:val="auto"/>
              </w:rPr>
              <w:t>Recognized</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C. Hafner GmbH + Co. KG</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rPr>
              <w:t>GERMANY</w:t>
            </w:r>
          </w:p>
        </w:tc>
        <w:tc>
          <w:tcPr>
            <w:tcW w:w="2240" w:type="dxa"/>
            <w:vAlign w:val="bottom"/>
          </w:tcPr>
          <w:p>
            <w:pPr>
              <w:jc w:val="center"/>
              <w:spacing w:after="0"/>
              <w:rPr>
                <w:sz w:val="20"/>
                <w:szCs w:val="20"/>
                <w:color w:val="auto"/>
              </w:rPr>
            </w:pPr>
            <w:r>
              <w:rPr>
                <w:rFonts w:ascii="Arial" w:cs="Arial" w:eastAsia="Arial" w:hAnsi="Arial"/>
                <w:sz w:val="16"/>
                <w:szCs w:val="16"/>
                <w:color w:val="auto"/>
              </w:rPr>
              <w:t>Recognized</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CCR Refinery - Glencore Canada Corporation</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rPr>
              <w:t>CANADA</w:t>
            </w:r>
          </w:p>
        </w:tc>
        <w:tc>
          <w:tcPr>
            <w:tcW w:w="2240" w:type="dxa"/>
            <w:vAlign w:val="bottom"/>
          </w:tcPr>
          <w:p>
            <w:pPr>
              <w:jc w:val="center"/>
              <w:spacing w:after="0"/>
              <w:rPr>
                <w:sz w:val="20"/>
                <w:szCs w:val="20"/>
                <w:color w:val="auto"/>
              </w:rPr>
            </w:pPr>
            <w:r>
              <w:rPr>
                <w:rFonts w:ascii="Arial" w:cs="Arial" w:eastAsia="Arial" w:hAnsi="Arial"/>
                <w:sz w:val="16"/>
                <w:szCs w:val="16"/>
                <w:color w:val="auto"/>
              </w:rPr>
              <w:t>Recognized</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PT Aries Kencana Sejahtera</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INDONESIA</w:t>
            </w:r>
          </w:p>
        </w:tc>
        <w:tc>
          <w:tcPr>
            <w:tcW w:w="2240" w:type="dxa"/>
            <w:vAlign w:val="bottom"/>
          </w:tcPr>
          <w:p>
            <w:pPr>
              <w:jc w:val="center"/>
              <w:spacing w:after="0"/>
              <w:rPr>
                <w:sz w:val="20"/>
                <w:szCs w:val="20"/>
                <w:color w:val="auto"/>
              </w:rPr>
            </w:pPr>
            <w:r>
              <w:rPr>
                <w:rFonts w:ascii="Arial" w:cs="Arial" w:eastAsia="Arial" w:hAnsi="Arial"/>
                <w:sz w:val="16"/>
                <w:szCs w:val="16"/>
                <w:color w:val="auto"/>
              </w:rPr>
              <w:t>Unknown</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Central Bank of the Philippines Gold Refinery &amp; Mint</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rPr>
              <w:t>PHILIPPINES</w:t>
            </w:r>
          </w:p>
        </w:tc>
        <w:tc>
          <w:tcPr>
            <w:tcW w:w="2240" w:type="dxa"/>
            <w:vAlign w:val="bottom"/>
          </w:tcPr>
          <w:p>
            <w:pPr>
              <w:jc w:val="center"/>
              <w:spacing w:after="0"/>
              <w:rPr>
                <w:sz w:val="20"/>
                <w:szCs w:val="20"/>
                <w:color w:val="auto"/>
              </w:rPr>
            </w:pPr>
            <w:r>
              <w:rPr>
                <w:rFonts w:ascii="Arial" w:cs="Arial" w:eastAsia="Arial" w:hAnsi="Arial"/>
                <w:sz w:val="16"/>
                <w:szCs w:val="16"/>
                <w:color w:val="auto"/>
              </w:rPr>
              <w:t>Recognized</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Daye Non-Ferrous Metals Mining Ltd.</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rPr>
              <w:t>CHINA</w:t>
            </w:r>
          </w:p>
        </w:tc>
        <w:tc>
          <w:tcPr>
            <w:tcW w:w="2240" w:type="dxa"/>
            <w:vAlign w:val="bottom"/>
          </w:tcPr>
          <w:p>
            <w:pPr>
              <w:jc w:val="center"/>
              <w:spacing w:after="0"/>
              <w:rPr>
                <w:sz w:val="20"/>
                <w:szCs w:val="20"/>
                <w:color w:val="auto"/>
              </w:rPr>
            </w:pPr>
            <w:r>
              <w:rPr>
                <w:rFonts w:ascii="Arial" w:cs="Arial" w:eastAsia="Arial" w:hAnsi="Arial"/>
                <w:sz w:val="16"/>
                <w:szCs w:val="16"/>
                <w:color w:val="auto"/>
              </w:rPr>
              <w:t>Unknown</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Chenzhou Yunxiang Mining and Metallurgy Co., Ltd.</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rPr>
              <w:t>CHINA</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Chifeng Dajingzi Tin Industry Co., Ltd.</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rPr>
              <w:t>CHINA</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Chimet S.p.A.</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ITALY</w:t>
            </w:r>
          </w:p>
        </w:tc>
        <w:tc>
          <w:tcPr>
            <w:tcW w:w="2240" w:type="dxa"/>
            <w:vAlign w:val="bottom"/>
          </w:tcPr>
          <w:p>
            <w:pPr>
              <w:jc w:val="center"/>
              <w:spacing w:after="0"/>
              <w:rPr>
                <w:sz w:val="20"/>
                <w:szCs w:val="20"/>
                <w:color w:val="auto"/>
              </w:rPr>
            </w:pPr>
            <w:r>
              <w:rPr>
                <w:rFonts w:ascii="Arial" w:cs="Arial" w:eastAsia="Arial" w:hAnsi="Arial"/>
                <w:sz w:val="16"/>
                <w:szCs w:val="16"/>
                <w:color w:val="auto"/>
              </w:rPr>
              <w:t>Recognized</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Tungsten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China Molybdenum Tungsten Co., Ltd.</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rPr>
              <w:t>CHINA</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China Tin Group Co., Ltd.</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rPr>
              <w:t>CHINA</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Tungsten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Chongyi Zhangyuan Tungsten Co., Ltd.</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rPr>
              <w:t>CHINA</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Chugai Mining</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rPr>
              <w:t>JAPAN</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Coimpa Industrial LTDA</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BRAZIL</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Tantalum</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Conghua Tantalum and Niobium Smeltry</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rPr>
              <w:t>CHINA</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164"/>
        </w:trPr>
        <w:tc>
          <w:tcPr>
            <w:tcW w:w="1220" w:type="dxa"/>
            <w:vAlign w:val="bottom"/>
            <w:gridSpan w:val="2"/>
          </w:tcPr>
          <w:p>
            <w:pPr>
              <w:ind w:left="60"/>
              <w:spacing w:after="0" w:line="164" w:lineRule="exact"/>
              <w:rPr>
                <w:sz w:val="20"/>
                <w:szCs w:val="20"/>
                <w:color w:val="auto"/>
              </w:rPr>
            </w:pPr>
            <w:r>
              <w:rPr>
                <w:rFonts w:ascii="Arial" w:cs="Arial" w:eastAsia="Arial" w:hAnsi="Arial"/>
                <w:sz w:val="16"/>
                <w:szCs w:val="16"/>
                <w:color w:val="auto"/>
              </w:rPr>
              <w:t>Tin</w:t>
            </w:r>
          </w:p>
        </w:tc>
        <w:tc>
          <w:tcPr>
            <w:tcW w:w="4200" w:type="dxa"/>
            <w:vAlign w:val="bottom"/>
            <w:gridSpan w:val="2"/>
          </w:tcPr>
          <w:p>
            <w:pPr>
              <w:ind w:left="80"/>
              <w:spacing w:after="0" w:line="164" w:lineRule="exact"/>
              <w:rPr>
                <w:sz w:val="20"/>
                <w:szCs w:val="20"/>
                <w:color w:val="auto"/>
              </w:rPr>
            </w:pPr>
            <w:r>
              <w:rPr>
                <w:rFonts w:ascii="Arial" w:cs="Arial" w:eastAsia="Arial" w:hAnsi="Arial"/>
                <w:sz w:val="16"/>
                <w:szCs w:val="16"/>
                <w:color w:val="auto"/>
              </w:rPr>
              <w:t>CRM Fundicao De Metais E Comercio De</w:t>
            </w:r>
          </w:p>
        </w:tc>
        <w:tc>
          <w:tcPr>
            <w:tcW w:w="3560" w:type="dxa"/>
            <w:vAlign w:val="bottom"/>
            <w:gridSpan w:val="2"/>
          </w:tcPr>
          <w:p>
            <w:pPr>
              <w:jc w:val="center"/>
              <w:ind w:right="120"/>
              <w:spacing w:after="0" w:line="164" w:lineRule="exact"/>
              <w:rPr>
                <w:sz w:val="20"/>
                <w:szCs w:val="20"/>
                <w:color w:val="auto"/>
              </w:rPr>
            </w:pPr>
            <w:r>
              <w:rPr>
                <w:rFonts w:ascii="Arial" w:cs="Arial" w:eastAsia="Arial" w:hAnsi="Arial"/>
                <w:sz w:val="16"/>
                <w:szCs w:val="16"/>
                <w:color w:val="auto"/>
                <w:w w:val="99"/>
              </w:rPr>
              <w:t>BRAZIL</w:t>
            </w:r>
          </w:p>
        </w:tc>
        <w:tc>
          <w:tcPr>
            <w:tcW w:w="2240" w:type="dxa"/>
            <w:vAlign w:val="bottom"/>
          </w:tcPr>
          <w:p>
            <w:pPr>
              <w:jc w:val="center"/>
              <w:spacing w:after="0" w:line="164" w:lineRule="exact"/>
              <w:rPr>
                <w:sz w:val="20"/>
                <w:szCs w:val="20"/>
                <w:color w:val="auto"/>
              </w:rPr>
            </w:pPr>
            <w:r>
              <w:rPr>
                <w:rFonts w:ascii="Arial" w:cs="Arial" w:eastAsia="Arial" w:hAnsi="Arial"/>
                <w:sz w:val="16"/>
                <w:szCs w:val="16"/>
                <w:color w:val="auto"/>
              </w:rPr>
              <w:t>Active</w:t>
            </w: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Equipamentos Eletronicos Do Brasil Ltda</w:t>
            </w: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CRM Synergies</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SPAIN</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Tungsten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Cronimet Brasil Ltda</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BRAZIL</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164"/>
        </w:trPr>
        <w:tc>
          <w:tcPr>
            <w:tcW w:w="1220" w:type="dxa"/>
            <w:vAlign w:val="bottom"/>
            <w:gridSpan w:val="2"/>
          </w:tcPr>
          <w:p>
            <w:pPr>
              <w:ind w:left="60"/>
              <w:spacing w:after="0" w:line="164" w:lineRule="exact"/>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line="164" w:lineRule="exact"/>
              <w:rPr>
                <w:sz w:val="20"/>
                <w:szCs w:val="20"/>
                <w:color w:val="auto"/>
              </w:rPr>
            </w:pPr>
            <w:r>
              <w:rPr>
                <w:rFonts w:ascii="Arial" w:cs="Arial" w:eastAsia="Arial" w:hAnsi="Arial"/>
                <w:sz w:val="16"/>
                <w:szCs w:val="16"/>
                <w:color w:val="auto"/>
              </w:rPr>
              <w:t>Guoda Safina High-Tech Environmental Refinery Co.,</w:t>
            </w:r>
          </w:p>
        </w:tc>
        <w:tc>
          <w:tcPr>
            <w:tcW w:w="3560" w:type="dxa"/>
            <w:vAlign w:val="bottom"/>
            <w:gridSpan w:val="2"/>
          </w:tcPr>
          <w:p>
            <w:pPr>
              <w:jc w:val="center"/>
              <w:ind w:right="100"/>
              <w:spacing w:after="0" w:line="164" w:lineRule="exact"/>
              <w:rPr>
                <w:sz w:val="20"/>
                <w:szCs w:val="20"/>
                <w:color w:val="auto"/>
              </w:rPr>
            </w:pPr>
            <w:r>
              <w:rPr>
                <w:rFonts w:ascii="Arial" w:cs="Arial" w:eastAsia="Arial" w:hAnsi="Arial"/>
                <w:sz w:val="16"/>
                <w:szCs w:val="16"/>
                <w:color w:val="auto"/>
              </w:rPr>
              <w:t>CHINA</w:t>
            </w:r>
          </w:p>
        </w:tc>
        <w:tc>
          <w:tcPr>
            <w:tcW w:w="2240" w:type="dxa"/>
            <w:vAlign w:val="bottom"/>
          </w:tcPr>
          <w:p>
            <w:pPr>
              <w:jc w:val="center"/>
              <w:spacing w:after="0" w:line="164" w:lineRule="exact"/>
              <w:rPr>
                <w:sz w:val="20"/>
                <w:szCs w:val="20"/>
                <w:color w:val="auto"/>
              </w:rPr>
            </w:pPr>
            <w:r>
              <w:rPr>
                <w:rFonts w:ascii="Arial" w:cs="Arial" w:eastAsia="Arial" w:hAnsi="Arial"/>
                <w:sz w:val="16"/>
                <w:szCs w:val="16"/>
                <w:color w:val="auto"/>
              </w:rPr>
              <w:t>Unknown</w:t>
            </w: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Ltd.</w:t>
            </w: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CV Ayi Jaya</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INDONESIA</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97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rPr>
              <w:t>RMI Conformance Level</w:t>
            </w:r>
          </w:p>
        </w:tc>
        <w:tc>
          <w:tcPr>
            <w:tcW w:w="0" w:type="dxa"/>
            <w:vAlign w:val="bottom"/>
          </w:tcPr>
          <w:p>
            <w:pPr>
              <w:spacing w:after="0"/>
              <w:rPr>
                <w:sz w:val="1"/>
                <w:szCs w:val="1"/>
                <w:color w:val="auto"/>
              </w:rPr>
            </w:pPr>
          </w:p>
        </w:tc>
      </w:tr>
      <w:tr>
        <w:trPr>
          <w:trHeight w:val="176"/>
        </w:trPr>
        <w:tc>
          <w:tcPr>
            <w:tcW w:w="122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rPr>
              <w:t>Metal</w:t>
            </w:r>
          </w:p>
        </w:tc>
        <w:tc>
          <w:tcPr>
            <w:tcW w:w="4200" w:type="dxa"/>
            <w:vAlign w:val="bottom"/>
            <w:gridSpan w:val="2"/>
            <w:vMerge w:val="restart"/>
          </w:tcPr>
          <w:p>
            <w:pPr>
              <w:ind w:left="1020"/>
              <w:spacing w:after="0"/>
              <w:rPr>
                <w:sz w:val="20"/>
                <w:szCs w:val="20"/>
                <w:color w:val="auto"/>
              </w:rPr>
            </w:pPr>
            <w:r>
              <w:rPr>
                <w:rFonts w:ascii="Arial" w:cs="Arial" w:eastAsia="Arial" w:hAnsi="Arial"/>
                <w:sz w:val="18"/>
                <w:szCs w:val="18"/>
                <w:b w:val="1"/>
                <w:bCs w:val="1"/>
                <w:color w:val="auto"/>
              </w:rPr>
              <w:t>Standard Smelter Name</w:t>
            </w:r>
          </w:p>
        </w:tc>
        <w:tc>
          <w:tcPr>
            <w:tcW w:w="354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rPr>
              <w:t>Smelter Facility Location</w:t>
            </w:r>
          </w:p>
        </w:tc>
        <w:tc>
          <w:tcPr>
            <w:tcW w:w="22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or LMBA/ RJC COP or</w:t>
            </w:r>
          </w:p>
        </w:tc>
        <w:tc>
          <w:tcPr>
            <w:tcW w:w="0" w:type="dxa"/>
            <w:vAlign w:val="bottom"/>
          </w:tcPr>
          <w:p>
            <w:pPr>
              <w:spacing w:after="0"/>
              <w:rPr>
                <w:sz w:val="1"/>
                <w:szCs w:val="1"/>
                <w:color w:val="auto"/>
              </w:rPr>
            </w:pPr>
          </w:p>
        </w:tc>
      </w:tr>
      <w:tr>
        <w:trPr>
          <w:trHeight w:val="243"/>
        </w:trPr>
        <w:tc>
          <w:tcPr>
            <w:tcW w:w="1220" w:type="dxa"/>
            <w:vAlign w:val="bottom"/>
            <w:gridSpan w:val="2"/>
            <w:vMerge w:val="continue"/>
          </w:tcPr>
          <w:p>
            <w:pPr>
              <w:spacing w:after="0"/>
              <w:rPr>
                <w:sz w:val="21"/>
                <w:szCs w:val="21"/>
                <w:color w:val="auto"/>
              </w:rPr>
            </w:pPr>
          </w:p>
        </w:tc>
        <w:tc>
          <w:tcPr>
            <w:tcW w:w="4200" w:type="dxa"/>
            <w:vAlign w:val="bottom"/>
            <w:gridSpan w:val="2"/>
            <w:vMerge w:val="continue"/>
          </w:tcPr>
          <w:p>
            <w:pPr>
              <w:spacing w:after="0"/>
              <w:rPr>
                <w:sz w:val="21"/>
                <w:szCs w:val="21"/>
                <w:color w:val="auto"/>
              </w:rPr>
            </w:pPr>
          </w:p>
        </w:tc>
        <w:tc>
          <w:tcPr>
            <w:tcW w:w="3540" w:type="dxa"/>
            <w:vAlign w:val="bottom"/>
            <w:gridSpan w:val="2"/>
            <w:vMerge w:val="continue"/>
          </w:tcPr>
          <w:p>
            <w:pPr>
              <w:spacing w:after="0"/>
              <w:rPr>
                <w:sz w:val="21"/>
                <w:szCs w:val="21"/>
                <w:color w:val="auto"/>
              </w:rPr>
            </w:pP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9"/>
              </w:rPr>
              <w:t>CoC “recognized”</w:t>
            </w:r>
          </w:p>
        </w:tc>
        <w:tc>
          <w:tcPr>
            <w:tcW w:w="0" w:type="dxa"/>
            <w:vAlign w:val="bottom"/>
          </w:tcPr>
          <w:p>
            <w:pPr>
              <w:spacing w:after="0"/>
              <w:rPr>
                <w:sz w:val="1"/>
                <w:szCs w:val="1"/>
                <w:color w:val="auto"/>
              </w:rPr>
            </w:pPr>
          </w:p>
        </w:tc>
      </w:tr>
      <w:tr>
        <w:trPr>
          <w:trHeight w:val="208"/>
        </w:trPr>
        <w:tc>
          <w:tcPr>
            <w:tcW w:w="112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rPr>
              <w:t>Tantalum</w:t>
            </w:r>
          </w:p>
        </w:tc>
        <w:tc>
          <w:tcPr>
            <w:tcW w:w="100" w:type="dxa"/>
            <w:vAlign w:val="bottom"/>
          </w:tcPr>
          <w:p>
            <w:pPr>
              <w:spacing w:after="0"/>
              <w:rPr>
                <w:sz w:val="18"/>
                <w:szCs w:val="18"/>
                <w:color w:val="auto"/>
              </w:rPr>
            </w:pPr>
          </w:p>
        </w:tc>
        <w:tc>
          <w:tcPr>
            <w:tcW w:w="408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D Block Metals, LLC</w:t>
            </w:r>
          </w:p>
        </w:tc>
        <w:tc>
          <w:tcPr>
            <w:tcW w:w="120" w:type="dxa"/>
            <w:vAlign w:val="bottom"/>
          </w:tcPr>
          <w:p>
            <w:pPr>
              <w:spacing w:after="0"/>
              <w:rPr>
                <w:sz w:val="18"/>
                <w:szCs w:val="18"/>
                <w:color w:val="auto"/>
              </w:rPr>
            </w:pPr>
          </w:p>
        </w:tc>
        <w:tc>
          <w:tcPr>
            <w:tcW w:w="34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UNITED STATES</w:t>
            </w:r>
          </w:p>
        </w:tc>
        <w:tc>
          <w:tcPr>
            <w:tcW w:w="100" w:type="dxa"/>
            <w:vAlign w:val="bottom"/>
          </w:tcPr>
          <w:p>
            <w:pPr>
              <w:spacing w:after="0"/>
              <w:rPr>
                <w:sz w:val="18"/>
                <w:szCs w:val="18"/>
                <w:color w:val="auto"/>
              </w:rPr>
            </w:pPr>
          </w:p>
        </w:tc>
        <w:tc>
          <w:tcPr>
            <w:tcW w:w="22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5"/>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Do Sung Corporation</w:t>
            </w:r>
          </w:p>
        </w:tc>
        <w:tc>
          <w:tcPr>
            <w:tcW w:w="3540" w:type="dxa"/>
            <w:vAlign w:val="bottom"/>
            <w:gridSpan w:val="2"/>
          </w:tcPr>
          <w:p>
            <w:pPr>
              <w:jc w:val="center"/>
              <w:ind w:right="120"/>
              <w:spacing w:after="0"/>
              <w:rPr>
                <w:sz w:val="20"/>
                <w:szCs w:val="20"/>
                <w:color w:val="auto"/>
              </w:rPr>
            </w:pPr>
            <w:r>
              <w:rPr>
                <w:rFonts w:ascii="Arial" w:cs="Arial" w:eastAsia="Arial" w:hAnsi="Arial"/>
                <w:sz w:val="16"/>
                <w:szCs w:val="16"/>
                <w:color w:val="auto"/>
              </w:rPr>
              <w:t>SOUTH KOREA</w:t>
            </w:r>
          </w:p>
        </w:tc>
        <w:tc>
          <w:tcPr>
            <w:tcW w:w="226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Dongguan Best Alloys Co., Ltd.</w:t>
            </w:r>
          </w:p>
        </w:tc>
        <w:tc>
          <w:tcPr>
            <w:tcW w:w="3540" w:type="dxa"/>
            <w:vAlign w:val="bottom"/>
            <w:gridSpan w:val="2"/>
          </w:tcPr>
          <w:p>
            <w:pPr>
              <w:jc w:val="center"/>
              <w:ind w:right="120"/>
              <w:spacing w:after="0"/>
              <w:rPr>
                <w:sz w:val="20"/>
                <w:szCs w:val="20"/>
                <w:color w:val="auto"/>
              </w:rPr>
            </w:pPr>
            <w:r>
              <w:rPr>
                <w:rFonts w:ascii="Arial" w:cs="Arial" w:eastAsia="Arial" w:hAnsi="Arial"/>
                <w:sz w:val="16"/>
                <w:szCs w:val="16"/>
                <w:color w:val="auto"/>
              </w:rPr>
              <w:t>CHINA</w:t>
            </w:r>
          </w:p>
        </w:tc>
        <w:tc>
          <w:tcPr>
            <w:tcW w:w="226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Tungsten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Hunan Chenzhou Mining Co. Ltd.</w:t>
            </w:r>
          </w:p>
        </w:tc>
        <w:tc>
          <w:tcPr>
            <w:tcW w:w="3540" w:type="dxa"/>
            <w:vAlign w:val="bottom"/>
            <w:gridSpan w:val="2"/>
          </w:tcPr>
          <w:p>
            <w:pPr>
              <w:jc w:val="center"/>
              <w:ind w:right="120"/>
              <w:spacing w:after="0"/>
              <w:rPr>
                <w:sz w:val="20"/>
                <w:szCs w:val="20"/>
                <w:color w:val="auto"/>
              </w:rPr>
            </w:pPr>
            <w:r>
              <w:rPr>
                <w:rFonts w:ascii="Arial" w:cs="Arial" w:eastAsia="Arial" w:hAnsi="Arial"/>
                <w:sz w:val="16"/>
                <w:szCs w:val="16"/>
                <w:color w:val="auto"/>
              </w:rPr>
              <w:t>CHINA</w:t>
            </w:r>
          </w:p>
        </w:tc>
        <w:tc>
          <w:tcPr>
            <w:tcW w:w="2260" w:type="dxa"/>
            <w:vAlign w:val="bottom"/>
          </w:tcPr>
          <w:p>
            <w:pPr>
              <w:jc w:val="center"/>
              <w:spacing w:after="0"/>
              <w:rPr>
                <w:sz w:val="20"/>
                <w:szCs w:val="20"/>
                <w:color w:val="auto"/>
              </w:rPr>
            </w:pPr>
            <w:r>
              <w:rPr>
                <w:rFonts w:ascii="Arial" w:cs="Arial" w:eastAsia="Arial" w:hAnsi="Arial"/>
                <w:sz w:val="16"/>
                <w:szCs w:val="16"/>
                <w:color w:val="auto"/>
              </w:rPr>
              <w:t>Unknown</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Dowa</w:t>
            </w:r>
          </w:p>
        </w:tc>
        <w:tc>
          <w:tcPr>
            <w:tcW w:w="35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JAPAN</w:t>
            </w:r>
          </w:p>
        </w:tc>
        <w:tc>
          <w:tcPr>
            <w:tcW w:w="226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Dowa</w:t>
            </w:r>
          </w:p>
        </w:tc>
        <w:tc>
          <w:tcPr>
            <w:tcW w:w="35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JAPAN</w:t>
            </w:r>
          </w:p>
        </w:tc>
        <w:tc>
          <w:tcPr>
            <w:tcW w:w="226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Eco-System Recycling Co., Ltd. East Plant</w:t>
            </w:r>
          </w:p>
        </w:tc>
        <w:tc>
          <w:tcPr>
            <w:tcW w:w="35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JAPAN</w:t>
            </w:r>
          </w:p>
        </w:tc>
        <w:tc>
          <w:tcPr>
            <w:tcW w:w="226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Eco-System Recycling Co., Ltd. North Plant</w:t>
            </w:r>
          </w:p>
        </w:tc>
        <w:tc>
          <w:tcPr>
            <w:tcW w:w="35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JAPAN</w:t>
            </w:r>
          </w:p>
        </w:tc>
        <w:tc>
          <w:tcPr>
            <w:tcW w:w="226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Eco-System Recycling Co., Ltd. West Plant</w:t>
            </w:r>
          </w:p>
        </w:tc>
        <w:tc>
          <w:tcPr>
            <w:tcW w:w="35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JAPAN</w:t>
            </w:r>
          </w:p>
        </w:tc>
        <w:tc>
          <w:tcPr>
            <w:tcW w:w="226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Elite Industech Co., Ltd.</w:t>
            </w:r>
          </w:p>
        </w:tc>
        <w:tc>
          <w:tcPr>
            <w:tcW w:w="35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TAIWAN</w:t>
            </w:r>
          </w:p>
        </w:tc>
        <w:tc>
          <w:tcPr>
            <w:tcW w:w="226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EM Vinto</w:t>
            </w:r>
          </w:p>
        </w:tc>
        <w:tc>
          <w:tcPr>
            <w:tcW w:w="35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BOLIVIA</w:t>
            </w:r>
          </w:p>
        </w:tc>
        <w:tc>
          <w:tcPr>
            <w:tcW w:w="226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Estanho de Rondônia S.A.</w:t>
            </w:r>
          </w:p>
        </w:tc>
        <w:tc>
          <w:tcPr>
            <w:tcW w:w="3540" w:type="dxa"/>
            <w:vAlign w:val="bottom"/>
            <w:gridSpan w:val="2"/>
          </w:tcPr>
          <w:p>
            <w:pPr>
              <w:jc w:val="center"/>
              <w:ind w:right="120"/>
              <w:spacing w:after="0"/>
              <w:rPr>
                <w:sz w:val="20"/>
                <w:szCs w:val="20"/>
                <w:color w:val="auto"/>
              </w:rPr>
            </w:pPr>
            <w:r>
              <w:rPr>
                <w:rFonts w:ascii="Arial" w:cs="Arial" w:eastAsia="Arial" w:hAnsi="Arial"/>
                <w:sz w:val="16"/>
                <w:szCs w:val="16"/>
                <w:color w:val="auto"/>
              </w:rPr>
              <w:t>BRAZIL</w:t>
            </w:r>
          </w:p>
        </w:tc>
        <w:tc>
          <w:tcPr>
            <w:tcW w:w="226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Tantalum</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F&amp;X Electro-Materials Ltd.</w:t>
            </w:r>
          </w:p>
        </w:tc>
        <w:tc>
          <w:tcPr>
            <w:tcW w:w="3540" w:type="dxa"/>
            <w:vAlign w:val="bottom"/>
            <w:gridSpan w:val="2"/>
          </w:tcPr>
          <w:p>
            <w:pPr>
              <w:jc w:val="center"/>
              <w:ind w:right="120"/>
              <w:spacing w:after="0"/>
              <w:rPr>
                <w:sz w:val="20"/>
                <w:szCs w:val="20"/>
                <w:color w:val="auto"/>
              </w:rPr>
            </w:pPr>
            <w:r>
              <w:rPr>
                <w:rFonts w:ascii="Arial" w:cs="Arial" w:eastAsia="Arial" w:hAnsi="Arial"/>
                <w:sz w:val="16"/>
                <w:szCs w:val="16"/>
                <w:color w:val="auto"/>
              </w:rPr>
              <w:t>CHINA</w:t>
            </w:r>
          </w:p>
        </w:tc>
        <w:tc>
          <w:tcPr>
            <w:tcW w:w="226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Fabrica Auricchio Industria e Comercio Ltda.</w:t>
            </w:r>
          </w:p>
        </w:tc>
        <w:tc>
          <w:tcPr>
            <w:tcW w:w="3540" w:type="dxa"/>
            <w:vAlign w:val="bottom"/>
            <w:gridSpan w:val="2"/>
          </w:tcPr>
          <w:p>
            <w:pPr>
              <w:jc w:val="center"/>
              <w:ind w:right="120"/>
              <w:spacing w:after="0"/>
              <w:rPr>
                <w:sz w:val="20"/>
                <w:szCs w:val="20"/>
                <w:color w:val="auto"/>
              </w:rPr>
            </w:pPr>
            <w:r>
              <w:rPr>
                <w:rFonts w:ascii="Arial" w:cs="Arial" w:eastAsia="Arial" w:hAnsi="Arial"/>
                <w:sz w:val="16"/>
                <w:szCs w:val="16"/>
                <w:color w:val="auto"/>
              </w:rPr>
              <w:t>BRAZIL</w:t>
            </w:r>
          </w:p>
        </w:tc>
        <w:tc>
          <w:tcPr>
            <w:tcW w:w="226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Fenix Metals</w:t>
            </w:r>
          </w:p>
        </w:tc>
        <w:tc>
          <w:tcPr>
            <w:tcW w:w="3540" w:type="dxa"/>
            <w:vAlign w:val="bottom"/>
            <w:gridSpan w:val="2"/>
          </w:tcPr>
          <w:p>
            <w:pPr>
              <w:jc w:val="center"/>
              <w:ind w:right="120"/>
              <w:spacing w:after="0"/>
              <w:rPr>
                <w:sz w:val="20"/>
                <w:szCs w:val="20"/>
                <w:color w:val="auto"/>
              </w:rPr>
            </w:pPr>
            <w:r>
              <w:rPr>
                <w:rFonts w:ascii="Arial" w:cs="Arial" w:eastAsia="Arial" w:hAnsi="Arial"/>
                <w:sz w:val="16"/>
                <w:szCs w:val="16"/>
                <w:color w:val="auto"/>
              </w:rPr>
              <w:t>POLAND</w:t>
            </w:r>
          </w:p>
        </w:tc>
        <w:tc>
          <w:tcPr>
            <w:tcW w:w="226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Tantalum</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FIR Metals &amp; Resource Ltd.</w:t>
            </w:r>
          </w:p>
        </w:tc>
        <w:tc>
          <w:tcPr>
            <w:tcW w:w="3540" w:type="dxa"/>
            <w:vAlign w:val="bottom"/>
            <w:gridSpan w:val="2"/>
          </w:tcPr>
          <w:p>
            <w:pPr>
              <w:jc w:val="center"/>
              <w:ind w:right="120"/>
              <w:spacing w:after="0"/>
              <w:rPr>
                <w:sz w:val="20"/>
                <w:szCs w:val="20"/>
                <w:color w:val="auto"/>
              </w:rPr>
            </w:pPr>
            <w:r>
              <w:rPr>
                <w:rFonts w:ascii="Arial" w:cs="Arial" w:eastAsia="Arial" w:hAnsi="Arial"/>
                <w:sz w:val="16"/>
                <w:szCs w:val="16"/>
                <w:color w:val="auto"/>
              </w:rPr>
              <w:t>CHINA</w:t>
            </w:r>
          </w:p>
        </w:tc>
        <w:tc>
          <w:tcPr>
            <w:tcW w:w="226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Tungsten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Ganzhou Jiangwu Ferrotungsten Co., Ltd.</w:t>
            </w:r>
          </w:p>
        </w:tc>
        <w:tc>
          <w:tcPr>
            <w:tcW w:w="3540" w:type="dxa"/>
            <w:vAlign w:val="bottom"/>
            <w:gridSpan w:val="2"/>
          </w:tcPr>
          <w:p>
            <w:pPr>
              <w:jc w:val="center"/>
              <w:ind w:right="120"/>
              <w:spacing w:after="0"/>
              <w:rPr>
                <w:sz w:val="20"/>
                <w:szCs w:val="20"/>
                <w:color w:val="auto"/>
              </w:rPr>
            </w:pPr>
            <w:r>
              <w:rPr>
                <w:rFonts w:ascii="Arial" w:cs="Arial" w:eastAsia="Arial" w:hAnsi="Arial"/>
                <w:sz w:val="16"/>
                <w:szCs w:val="16"/>
                <w:color w:val="auto"/>
              </w:rPr>
              <w:t>CHINA</w:t>
            </w:r>
          </w:p>
        </w:tc>
        <w:tc>
          <w:tcPr>
            <w:tcW w:w="2260" w:type="dxa"/>
            <w:vAlign w:val="bottom"/>
          </w:tcPr>
          <w:p>
            <w:pPr>
              <w:jc w:val="center"/>
              <w:spacing w:after="0"/>
              <w:rPr>
                <w:sz w:val="20"/>
                <w:szCs w:val="20"/>
                <w:color w:val="auto"/>
              </w:rPr>
            </w:pPr>
            <w:r>
              <w:rPr>
                <w:rFonts w:ascii="Arial" w:cs="Arial" w:eastAsia="Arial" w:hAnsi="Arial"/>
                <w:sz w:val="16"/>
                <w:szCs w:val="16"/>
                <w:color w:val="auto"/>
              </w:rPr>
              <w:t>Active</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Tungsten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Ganzhou Seadragon W &amp; Mo Co., Ltd.</w:t>
            </w:r>
          </w:p>
        </w:tc>
        <w:tc>
          <w:tcPr>
            <w:tcW w:w="3540" w:type="dxa"/>
            <w:vAlign w:val="bottom"/>
            <w:gridSpan w:val="2"/>
          </w:tcPr>
          <w:p>
            <w:pPr>
              <w:jc w:val="center"/>
              <w:ind w:right="120"/>
              <w:spacing w:after="0"/>
              <w:rPr>
                <w:sz w:val="20"/>
                <w:szCs w:val="20"/>
                <w:color w:val="auto"/>
              </w:rPr>
            </w:pPr>
            <w:r>
              <w:rPr>
                <w:rFonts w:ascii="Arial" w:cs="Arial" w:eastAsia="Arial" w:hAnsi="Arial"/>
                <w:sz w:val="16"/>
                <w:szCs w:val="16"/>
                <w:color w:val="auto"/>
              </w:rPr>
              <w:t>CHINA</w:t>
            </w:r>
          </w:p>
        </w:tc>
        <w:tc>
          <w:tcPr>
            <w:tcW w:w="226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Gejiu Non-Ferrous Metal Processing Co., Ltd.</w:t>
            </w:r>
          </w:p>
        </w:tc>
        <w:tc>
          <w:tcPr>
            <w:tcW w:w="3540" w:type="dxa"/>
            <w:vAlign w:val="bottom"/>
            <w:gridSpan w:val="2"/>
          </w:tcPr>
          <w:p>
            <w:pPr>
              <w:jc w:val="center"/>
              <w:ind w:right="120"/>
              <w:spacing w:after="0"/>
              <w:rPr>
                <w:sz w:val="20"/>
                <w:szCs w:val="20"/>
                <w:color w:val="auto"/>
              </w:rPr>
            </w:pPr>
            <w:r>
              <w:rPr>
                <w:rFonts w:ascii="Arial" w:cs="Arial" w:eastAsia="Arial" w:hAnsi="Arial"/>
                <w:sz w:val="16"/>
                <w:szCs w:val="16"/>
                <w:color w:val="auto"/>
              </w:rPr>
              <w:t>CHINA</w:t>
            </w:r>
          </w:p>
        </w:tc>
        <w:tc>
          <w:tcPr>
            <w:tcW w:w="226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Tungsten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GEM Co., Ltd.</w:t>
            </w:r>
          </w:p>
        </w:tc>
        <w:tc>
          <w:tcPr>
            <w:tcW w:w="3540" w:type="dxa"/>
            <w:vAlign w:val="bottom"/>
            <w:gridSpan w:val="2"/>
          </w:tcPr>
          <w:p>
            <w:pPr>
              <w:jc w:val="center"/>
              <w:ind w:right="120"/>
              <w:spacing w:after="0"/>
              <w:rPr>
                <w:sz w:val="20"/>
                <w:szCs w:val="20"/>
                <w:color w:val="auto"/>
              </w:rPr>
            </w:pPr>
            <w:r>
              <w:rPr>
                <w:rFonts w:ascii="Arial" w:cs="Arial" w:eastAsia="Arial" w:hAnsi="Arial"/>
                <w:sz w:val="16"/>
                <w:szCs w:val="16"/>
                <w:color w:val="auto"/>
              </w:rPr>
              <w:t>CHINA</w:t>
            </w:r>
          </w:p>
        </w:tc>
        <w:tc>
          <w:tcPr>
            <w:tcW w:w="226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GG Refinery Ltd.</w:t>
            </w:r>
          </w:p>
        </w:tc>
        <w:tc>
          <w:tcPr>
            <w:tcW w:w="354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TANZANIA</w:t>
            </w:r>
          </w:p>
        </w:tc>
        <w:tc>
          <w:tcPr>
            <w:tcW w:w="226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Tantalum</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Global Advanced Metals Aizu</w:t>
            </w:r>
          </w:p>
        </w:tc>
        <w:tc>
          <w:tcPr>
            <w:tcW w:w="35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JAPAN</w:t>
            </w:r>
          </w:p>
        </w:tc>
        <w:tc>
          <w:tcPr>
            <w:tcW w:w="226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Malaysia Smelting Corporation (MSC)</w:t>
            </w:r>
          </w:p>
        </w:tc>
        <w:tc>
          <w:tcPr>
            <w:tcW w:w="354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MALAYSIA</w:t>
            </w:r>
          </w:p>
        </w:tc>
        <w:tc>
          <w:tcPr>
            <w:tcW w:w="2260" w:type="dxa"/>
            <w:vAlign w:val="bottom"/>
          </w:tcPr>
          <w:p>
            <w:pPr>
              <w:jc w:val="center"/>
              <w:spacing w:after="0"/>
              <w:rPr>
                <w:sz w:val="20"/>
                <w:szCs w:val="20"/>
                <w:color w:val="auto"/>
              </w:rPr>
            </w:pPr>
            <w:r>
              <w:rPr>
                <w:rFonts w:ascii="Arial" w:cs="Arial" w:eastAsia="Arial" w:hAnsi="Arial"/>
                <w:sz w:val="16"/>
                <w:szCs w:val="16"/>
                <w:color w:val="auto"/>
              </w:rPr>
              <w:t>Unknown</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Tantalum</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Global Advanced Metals Boyertown</w:t>
            </w:r>
          </w:p>
        </w:tc>
        <w:tc>
          <w:tcPr>
            <w:tcW w:w="35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UNITED STATES</w:t>
            </w:r>
          </w:p>
        </w:tc>
        <w:tc>
          <w:tcPr>
            <w:tcW w:w="226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Global Advanced Metals Greenbushes Pty Ltd.</w:t>
            </w:r>
          </w:p>
        </w:tc>
        <w:tc>
          <w:tcPr>
            <w:tcW w:w="3540" w:type="dxa"/>
            <w:vAlign w:val="bottom"/>
            <w:gridSpan w:val="2"/>
          </w:tcPr>
          <w:p>
            <w:pPr>
              <w:jc w:val="center"/>
              <w:ind w:right="120"/>
              <w:spacing w:after="0"/>
              <w:rPr>
                <w:sz w:val="20"/>
                <w:szCs w:val="20"/>
                <w:color w:val="auto"/>
              </w:rPr>
            </w:pPr>
            <w:r>
              <w:rPr>
                <w:rFonts w:ascii="Arial" w:cs="Arial" w:eastAsia="Arial" w:hAnsi="Arial"/>
                <w:sz w:val="16"/>
                <w:szCs w:val="16"/>
                <w:color w:val="auto"/>
              </w:rPr>
              <w:t>AUSTRALIA</w:t>
            </w:r>
          </w:p>
        </w:tc>
        <w:tc>
          <w:tcPr>
            <w:tcW w:w="226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Tungsten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Global Tungsten &amp; Powders LLC</w:t>
            </w:r>
          </w:p>
        </w:tc>
        <w:tc>
          <w:tcPr>
            <w:tcW w:w="35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UNITED STATES</w:t>
            </w:r>
          </w:p>
        </w:tc>
        <w:tc>
          <w:tcPr>
            <w:tcW w:w="226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Gold by Gold Colombia</w:t>
            </w:r>
          </w:p>
        </w:tc>
        <w:tc>
          <w:tcPr>
            <w:tcW w:w="3540" w:type="dxa"/>
            <w:vAlign w:val="bottom"/>
            <w:gridSpan w:val="2"/>
          </w:tcPr>
          <w:p>
            <w:pPr>
              <w:jc w:val="center"/>
              <w:ind w:right="120"/>
              <w:spacing w:after="0"/>
              <w:rPr>
                <w:sz w:val="20"/>
                <w:szCs w:val="20"/>
                <w:color w:val="auto"/>
              </w:rPr>
            </w:pPr>
            <w:r>
              <w:rPr>
                <w:rFonts w:ascii="Arial" w:cs="Arial" w:eastAsia="Arial" w:hAnsi="Arial"/>
                <w:sz w:val="16"/>
                <w:szCs w:val="16"/>
                <w:color w:val="auto"/>
              </w:rPr>
              <w:t>COLOMBIA</w:t>
            </w:r>
          </w:p>
        </w:tc>
        <w:tc>
          <w:tcPr>
            <w:tcW w:w="226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Guangdong Hanhe Non-Ferrous Metal Co., Ltd.</w:t>
            </w:r>
          </w:p>
        </w:tc>
        <w:tc>
          <w:tcPr>
            <w:tcW w:w="3540" w:type="dxa"/>
            <w:vAlign w:val="bottom"/>
            <w:gridSpan w:val="2"/>
          </w:tcPr>
          <w:p>
            <w:pPr>
              <w:jc w:val="center"/>
              <w:ind w:right="120"/>
              <w:spacing w:after="0"/>
              <w:rPr>
                <w:sz w:val="20"/>
                <w:szCs w:val="20"/>
                <w:color w:val="auto"/>
              </w:rPr>
            </w:pPr>
            <w:r>
              <w:rPr>
                <w:rFonts w:ascii="Arial" w:cs="Arial" w:eastAsia="Arial" w:hAnsi="Arial"/>
                <w:sz w:val="16"/>
                <w:szCs w:val="16"/>
                <w:color w:val="auto"/>
              </w:rPr>
              <w:t>CHINA</w:t>
            </w:r>
          </w:p>
        </w:tc>
        <w:tc>
          <w:tcPr>
            <w:tcW w:w="226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Tungsten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Guangdong Xianglu Tungsten Co., Ltd.</w:t>
            </w:r>
          </w:p>
        </w:tc>
        <w:tc>
          <w:tcPr>
            <w:tcW w:w="3540" w:type="dxa"/>
            <w:vAlign w:val="bottom"/>
            <w:gridSpan w:val="2"/>
          </w:tcPr>
          <w:p>
            <w:pPr>
              <w:jc w:val="center"/>
              <w:ind w:right="120"/>
              <w:spacing w:after="0"/>
              <w:rPr>
                <w:sz w:val="20"/>
                <w:szCs w:val="20"/>
                <w:color w:val="auto"/>
              </w:rPr>
            </w:pPr>
            <w:r>
              <w:rPr>
                <w:rFonts w:ascii="Arial" w:cs="Arial" w:eastAsia="Arial" w:hAnsi="Arial"/>
                <w:sz w:val="16"/>
                <w:szCs w:val="16"/>
                <w:color w:val="auto"/>
              </w:rPr>
              <w:t>CHINA</w:t>
            </w:r>
          </w:p>
        </w:tc>
        <w:tc>
          <w:tcPr>
            <w:tcW w:w="226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Tantalum</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Guangdong Zhiyuan New Material Co., Ltd.</w:t>
            </w:r>
          </w:p>
        </w:tc>
        <w:tc>
          <w:tcPr>
            <w:tcW w:w="3540" w:type="dxa"/>
            <w:vAlign w:val="bottom"/>
            <w:gridSpan w:val="2"/>
          </w:tcPr>
          <w:p>
            <w:pPr>
              <w:jc w:val="center"/>
              <w:ind w:right="120"/>
              <w:spacing w:after="0"/>
              <w:rPr>
                <w:sz w:val="20"/>
                <w:szCs w:val="20"/>
                <w:color w:val="auto"/>
              </w:rPr>
            </w:pPr>
            <w:r>
              <w:rPr>
                <w:rFonts w:ascii="Arial" w:cs="Arial" w:eastAsia="Arial" w:hAnsi="Arial"/>
                <w:sz w:val="16"/>
                <w:szCs w:val="16"/>
                <w:color w:val="auto"/>
              </w:rPr>
              <w:t>CHINA</w:t>
            </w:r>
          </w:p>
        </w:tc>
        <w:tc>
          <w:tcPr>
            <w:tcW w:w="226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Tantalum</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H.C. Starck Co., Ltd.</w:t>
            </w:r>
          </w:p>
        </w:tc>
        <w:tc>
          <w:tcPr>
            <w:tcW w:w="3540" w:type="dxa"/>
            <w:vAlign w:val="bottom"/>
            <w:gridSpan w:val="2"/>
          </w:tcPr>
          <w:p>
            <w:pPr>
              <w:jc w:val="center"/>
              <w:ind w:right="120"/>
              <w:spacing w:after="0"/>
              <w:rPr>
                <w:sz w:val="20"/>
                <w:szCs w:val="20"/>
                <w:color w:val="auto"/>
              </w:rPr>
            </w:pPr>
            <w:r>
              <w:rPr>
                <w:rFonts w:ascii="Arial" w:cs="Arial" w:eastAsia="Arial" w:hAnsi="Arial"/>
                <w:sz w:val="16"/>
                <w:szCs w:val="16"/>
                <w:color w:val="auto"/>
              </w:rPr>
              <w:t>THAILAND</w:t>
            </w:r>
          </w:p>
        </w:tc>
        <w:tc>
          <w:tcPr>
            <w:tcW w:w="226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Tantalum</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H.C. Starck Inc.</w:t>
            </w:r>
          </w:p>
        </w:tc>
        <w:tc>
          <w:tcPr>
            <w:tcW w:w="35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UNITED STATES</w:t>
            </w:r>
          </w:p>
        </w:tc>
        <w:tc>
          <w:tcPr>
            <w:tcW w:w="226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Tantalum</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H.C. Starck Ltd.</w:t>
            </w:r>
          </w:p>
        </w:tc>
        <w:tc>
          <w:tcPr>
            <w:tcW w:w="35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JAPAN</w:t>
            </w:r>
          </w:p>
        </w:tc>
        <w:tc>
          <w:tcPr>
            <w:tcW w:w="226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Tantalum</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H.C. Starck Tantalum and Niobium GmbH</w:t>
            </w:r>
          </w:p>
        </w:tc>
        <w:tc>
          <w:tcPr>
            <w:tcW w:w="3540" w:type="dxa"/>
            <w:vAlign w:val="bottom"/>
            <w:gridSpan w:val="2"/>
          </w:tcPr>
          <w:p>
            <w:pPr>
              <w:jc w:val="center"/>
              <w:ind w:right="120"/>
              <w:spacing w:after="0"/>
              <w:rPr>
                <w:sz w:val="20"/>
                <w:szCs w:val="20"/>
                <w:color w:val="auto"/>
              </w:rPr>
            </w:pPr>
            <w:r>
              <w:rPr>
                <w:rFonts w:ascii="Arial" w:cs="Arial" w:eastAsia="Arial" w:hAnsi="Arial"/>
                <w:sz w:val="16"/>
                <w:szCs w:val="16"/>
                <w:color w:val="auto"/>
              </w:rPr>
              <w:t>GERMANY</w:t>
            </w:r>
          </w:p>
        </w:tc>
        <w:tc>
          <w:tcPr>
            <w:tcW w:w="226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Tungsten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H.C. Starck Tungsten GmbH</w:t>
            </w:r>
          </w:p>
        </w:tc>
        <w:tc>
          <w:tcPr>
            <w:tcW w:w="3540" w:type="dxa"/>
            <w:vAlign w:val="bottom"/>
            <w:gridSpan w:val="2"/>
          </w:tcPr>
          <w:p>
            <w:pPr>
              <w:jc w:val="center"/>
              <w:ind w:right="120"/>
              <w:spacing w:after="0"/>
              <w:rPr>
                <w:sz w:val="20"/>
                <w:szCs w:val="20"/>
                <w:color w:val="auto"/>
              </w:rPr>
            </w:pPr>
            <w:r>
              <w:rPr>
                <w:rFonts w:ascii="Arial" w:cs="Arial" w:eastAsia="Arial" w:hAnsi="Arial"/>
                <w:sz w:val="16"/>
                <w:szCs w:val="16"/>
                <w:color w:val="auto"/>
              </w:rPr>
              <w:t>GERMANY</w:t>
            </w:r>
          </w:p>
        </w:tc>
        <w:tc>
          <w:tcPr>
            <w:tcW w:w="226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HeeSung Metal Ltd.</w:t>
            </w:r>
          </w:p>
        </w:tc>
        <w:tc>
          <w:tcPr>
            <w:tcW w:w="3540" w:type="dxa"/>
            <w:vAlign w:val="bottom"/>
            <w:gridSpan w:val="2"/>
          </w:tcPr>
          <w:p>
            <w:pPr>
              <w:jc w:val="center"/>
              <w:ind w:right="120"/>
              <w:spacing w:after="0"/>
              <w:rPr>
                <w:sz w:val="20"/>
                <w:szCs w:val="20"/>
                <w:color w:val="auto"/>
              </w:rPr>
            </w:pPr>
            <w:r>
              <w:rPr>
                <w:rFonts w:ascii="Arial" w:cs="Arial" w:eastAsia="Arial" w:hAnsi="Arial"/>
                <w:sz w:val="16"/>
                <w:szCs w:val="16"/>
                <w:color w:val="auto"/>
              </w:rPr>
              <w:t>SOUTH KOREA</w:t>
            </w:r>
          </w:p>
        </w:tc>
        <w:tc>
          <w:tcPr>
            <w:tcW w:w="226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Heimerle + Meule GmbH</w:t>
            </w:r>
          </w:p>
        </w:tc>
        <w:tc>
          <w:tcPr>
            <w:tcW w:w="3540" w:type="dxa"/>
            <w:vAlign w:val="bottom"/>
            <w:gridSpan w:val="2"/>
          </w:tcPr>
          <w:p>
            <w:pPr>
              <w:jc w:val="center"/>
              <w:ind w:right="120"/>
              <w:spacing w:after="0"/>
              <w:rPr>
                <w:sz w:val="20"/>
                <w:szCs w:val="20"/>
                <w:color w:val="auto"/>
              </w:rPr>
            </w:pPr>
            <w:r>
              <w:rPr>
                <w:rFonts w:ascii="Arial" w:cs="Arial" w:eastAsia="Arial" w:hAnsi="Arial"/>
                <w:sz w:val="16"/>
                <w:szCs w:val="16"/>
                <w:color w:val="auto"/>
              </w:rPr>
              <w:t>GERMANY</w:t>
            </w:r>
          </w:p>
        </w:tc>
        <w:tc>
          <w:tcPr>
            <w:tcW w:w="2260" w:type="dxa"/>
            <w:vAlign w:val="bottom"/>
          </w:tcPr>
          <w:p>
            <w:pPr>
              <w:jc w:val="center"/>
              <w:spacing w:after="0"/>
              <w:rPr>
                <w:sz w:val="20"/>
                <w:szCs w:val="20"/>
                <w:color w:val="auto"/>
              </w:rPr>
            </w:pPr>
            <w:r>
              <w:rPr>
                <w:rFonts w:ascii="Arial" w:cs="Arial" w:eastAsia="Arial" w:hAnsi="Arial"/>
                <w:sz w:val="16"/>
                <w:szCs w:val="16"/>
                <w:color w:val="auto"/>
              </w:rPr>
              <w:t>Recognized</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Tantalum</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Hengyang King Xing Lifeng New Materials Co., Ltd.</w:t>
            </w:r>
          </w:p>
        </w:tc>
        <w:tc>
          <w:tcPr>
            <w:tcW w:w="3540" w:type="dxa"/>
            <w:vAlign w:val="bottom"/>
            <w:gridSpan w:val="2"/>
          </w:tcPr>
          <w:p>
            <w:pPr>
              <w:jc w:val="center"/>
              <w:ind w:right="120"/>
              <w:spacing w:after="0"/>
              <w:rPr>
                <w:sz w:val="20"/>
                <w:szCs w:val="20"/>
                <w:color w:val="auto"/>
              </w:rPr>
            </w:pPr>
            <w:r>
              <w:rPr>
                <w:rFonts w:ascii="Arial" w:cs="Arial" w:eastAsia="Arial" w:hAnsi="Arial"/>
                <w:sz w:val="16"/>
                <w:szCs w:val="16"/>
                <w:color w:val="auto"/>
              </w:rPr>
              <w:t>CHINA</w:t>
            </w:r>
          </w:p>
        </w:tc>
        <w:tc>
          <w:tcPr>
            <w:tcW w:w="226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Heraeus Germany GmbH Co. KG</w:t>
            </w:r>
          </w:p>
        </w:tc>
        <w:tc>
          <w:tcPr>
            <w:tcW w:w="3540" w:type="dxa"/>
            <w:vAlign w:val="bottom"/>
            <w:gridSpan w:val="2"/>
          </w:tcPr>
          <w:p>
            <w:pPr>
              <w:jc w:val="center"/>
              <w:ind w:right="120"/>
              <w:spacing w:after="0"/>
              <w:rPr>
                <w:sz w:val="20"/>
                <w:szCs w:val="20"/>
                <w:color w:val="auto"/>
              </w:rPr>
            </w:pPr>
            <w:r>
              <w:rPr>
                <w:rFonts w:ascii="Arial" w:cs="Arial" w:eastAsia="Arial" w:hAnsi="Arial"/>
                <w:sz w:val="16"/>
                <w:szCs w:val="16"/>
                <w:color w:val="auto"/>
              </w:rPr>
              <w:t>GERMANY</w:t>
            </w:r>
          </w:p>
        </w:tc>
        <w:tc>
          <w:tcPr>
            <w:tcW w:w="226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Heraeus Metals Hong Kong Ltd.</w:t>
            </w:r>
          </w:p>
        </w:tc>
        <w:tc>
          <w:tcPr>
            <w:tcW w:w="3540" w:type="dxa"/>
            <w:vAlign w:val="bottom"/>
            <w:gridSpan w:val="2"/>
          </w:tcPr>
          <w:p>
            <w:pPr>
              <w:jc w:val="center"/>
              <w:ind w:right="120"/>
              <w:spacing w:after="0"/>
              <w:rPr>
                <w:sz w:val="20"/>
                <w:szCs w:val="20"/>
                <w:color w:val="auto"/>
              </w:rPr>
            </w:pPr>
            <w:r>
              <w:rPr>
                <w:rFonts w:ascii="Arial" w:cs="Arial" w:eastAsia="Arial" w:hAnsi="Arial"/>
                <w:sz w:val="16"/>
                <w:szCs w:val="16"/>
                <w:color w:val="auto"/>
              </w:rPr>
              <w:t>CHINA</w:t>
            </w:r>
          </w:p>
        </w:tc>
        <w:tc>
          <w:tcPr>
            <w:tcW w:w="2260" w:type="dxa"/>
            <w:vAlign w:val="bottom"/>
          </w:tcPr>
          <w:p>
            <w:pPr>
              <w:jc w:val="center"/>
              <w:spacing w:after="0"/>
              <w:rPr>
                <w:sz w:val="20"/>
                <w:szCs w:val="20"/>
                <w:color w:val="auto"/>
              </w:rPr>
            </w:pPr>
            <w:r>
              <w:rPr>
                <w:rFonts w:ascii="Arial" w:cs="Arial" w:eastAsia="Arial" w:hAnsi="Arial"/>
                <w:sz w:val="16"/>
                <w:szCs w:val="16"/>
                <w:color w:val="auto"/>
              </w:rPr>
              <w:t>Recognized</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HuiChang Hill Tin Industry Co., Ltd.</w:t>
            </w:r>
          </w:p>
        </w:tc>
        <w:tc>
          <w:tcPr>
            <w:tcW w:w="3540" w:type="dxa"/>
            <w:vAlign w:val="bottom"/>
            <w:gridSpan w:val="2"/>
          </w:tcPr>
          <w:p>
            <w:pPr>
              <w:jc w:val="center"/>
              <w:ind w:right="120"/>
              <w:spacing w:after="0"/>
              <w:rPr>
                <w:sz w:val="20"/>
                <w:szCs w:val="20"/>
                <w:color w:val="auto"/>
              </w:rPr>
            </w:pPr>
            <w:r>
              <w:rPr>
                <w:rFonts w:ascii="Arial" w:cs="Arial" w:eastAsia="Arial" w:hAnsi="Arial"/>
                <w:sz w:val="16"/>
                <w:szCs w:val="16"/>
                <w:color w:val="auto"/>
              </w:rPr>
              <w:t>CHINA</w:t>
            </w:r>
          </w:p>
        </w:tc>
        <w:tc>
          <w:tcPr>
            <w:tcW w:w="226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Impala Platinum - Platinum Metals Refinery (PMR)</w:t>
            </w:r>
          </w:p>
        </w:tc>
        <w:tc>
          <w:tcPr>
            <w:tcW w:w="3540" w:type="dxa"/>
            <w:vAlign w:val="bottom"/>
            <w:gridSpan w:val="2"/>
          </w:tcPr>
          <w:p>
            <w:pPr>
              <w:jc w:val="center"/>
              <w:ind w:right="120"/>
              <w:spacing w:after="0"/>
              <w:rPr>
                <w:sz w:val="20"/>
                <w:szCs w:val="20"/>
                <w:color w:val="auto"/>
              </w:rPr>
            </w:pPr>
            <w:r>
              <w:rPr>
                <w:rFonts w:ascii="Arial" w:cs="Arial" w:eastAsia="Arial" w:hAnsi="Arial"/>
                <w:sz w:val="16"/>
                <w:szCs w:val="16"/>
                <w:color w:val="auto"/>
              </w:rPr>
              <w:t>SOUTH AFRICA</w:t>
            </w:r>
          </w:p>
        </w:tc>
        <w:tc>
          <w:tcPr>
            <w:tcW w:w="226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164"/>
        </w:trPr>
        <w:tc>
          <w:tcPr>
            <w:tcW w:w="1220" w:type="dxa"/>
            <w:vAlign w:val="bottom"/>
            <w:gridSpan w:val="2"/>
          </w:tcPr>
          <w:p>
            <w:pPr>
              <w:ind w:left="60"/>
              <w:spacing w:after="0" w:line="164" w:lineRule="exact"/>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line="164" w:lineRule="exact"/>
              <w:rPr>
                <w:sz w:val="20"/>
                <w:szCs w:val="20"/>
                <w:color w:val="auto"/>
              </w:rPr>
            </w:pPr>
            <w:r>
              <w:rPr>
                <w:rFonts w:ascii="Arial" w:cs="Arial" w:eastAsia="Arial" w:hAnsi="Arial"/>
                <w:sz w:val="16"/>
                <w:szCs w:val="16"/>
                <w:color w:val="auto"/>
              </w:rPr>
              <w:t>Inner Mongolia Qiankun Gold and Silver Refinery</w:t>
            </w:r>
          </w:p>
        </w:tc>
        <w:tc>
          <w:tcPr>
            <w:tcW w:w="3540" w:type="dxa"/>
            <w:vAlign w:val="bottom"/>
            <w:gridSpan w:val="2"/>
          </w:tcPr>
          <w:p>
            <w:pPr>
              <w:jc w:val="center"/>
              <w:ind w:right="120"/>
              <w:spacing w:after="0" w:line="164" w:lineRule="exact"/>
              <w:rPr>
                <w:sz w:val="20"/>
                <w:szCs w:val="20"/>
                <w:color w:val="auto"/>
              </w:rPr>
            </w:pPr>
            <w:r>
              <w:rPr>
                <w:rFonts w:ascii="Arial" w:cs="Arial" w:eastAsia="Arial" w:hAnsi="Arial"/>
                <w:sz w:val="16"/>
                <w:szCs w:val="16"/>
                <w:color w:val="auto"/>
              </w:rPr>
              <w:t>CHINA</w:t>
            </w:r>
          </w:p>
        </w:tc>
        <w:tc>
          <w:tcPr>
            <w:tcW w:w="2260" w:type="dxa"/>
            <w:vAlign w:val="bottom"/>
          </w:tcPr>
          <w:p>
            <w:pPr>
              <w:jc w:val="center"/>
              <w:spacing w:after="0" w:line="164" w:lineRule="exact"/>
              <w:rPr>
                <w:sz w:val="20"/>
                <w:szCs w:val="20"/>
                <w:color w:val="auto"/>
              </w:rPr>
            </w:pPr>
            <w:r>
              <w:rPr>
                <w:rFonts w:ascii="Arial" w:cs="Arial" w:eastAsia="Arial" w:hAnsi="Arial"/>
                <w:sz w:val="16"/>
                <w:szCs w:val="16"/>
                <w:color w:val="auto"/>
              </w:rPr>
              <w:t>Recognized</w:t>
            </w: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Share Co., Ltd.</w:t>
            </w: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Ishifuku Metal Industry Co., Ltd.</w:t>
            </w:r>
          </w:p>
        </w:tc>
        <w:tc>
          <w:tcPr>
            <w:tcW w:w="35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JAPAN</w:t>
            </w:r>
          </w:p>
        </w:tc>
        <w:tc>
          <w:tcPr>
            <w:tcW w:w="2260" w:type="dxa"/>
            <w:vAlign w:val="bottom"/>
          </w:tcPr>
          <w:p>
            <w:pPr>
              <w:jc w:val="center"/>
              <w:spacing w:after="0"/>
              <w:rPr>
                <w:sz w:val="20"/>
                <w:szCs w:val="20"/>
                <w:color w:val="auto"/>
              </w:rPr>
            </w:pPr>
            <w:r>
              <w:rPr>
                <w:rFonts w:ascii="Arial" w:cs="Arial" w:eastAsia="Arial" w:hAnsi="Arial"/>
                <w:sz w:val="16"/>
                <w:szCs w:val="16"/>
                <w:color w:val="auto"/>
              </w:rPr>
              <w:t>Recognized</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Istanbul Gold Refinery</w:t>
            </w:r>
          </w:p>
        </w:tc>
        <w:tc>
          <w:tcPr>
            <w:tcW w:w="3540" w:type="dxa"/>
            <w:vAlign w:val="bottom"/>
            <w:gridSpan w:val="2"/>
          </w:tcPr>
          <w:p>
            <w:pPr>
              <w:jc w:val="center"/>
              <w:ind w:right="120"/>
              <w:spacing w:after="0"/>
              <w:rPr>
                <w:sz w:val="20"/>
                <w:szCs w:val="20"/>
                <w:color w:val="auto"/>
              </w:rPr>
            </w:pPr>
            <w:r>
              <w:rPr>
                <w:rFonts w:ascii="Arial" w:cs="Arial" w:eastAsia="Arial" w:hAnsi="Arial"/>
                <w:sz w:val="16"/>
                <w:szCs w:val="16"/>
                <w:color w:val="auto"/>
              </w:rPr>
              <w:t>TURKEY</w:t>
            </w:r>
          </w:p>
        </w:tc>
        <w:tc>
          <w:tcPr>
            <w:tcW w:w="2260" w:type="dxa"/>
            <w:vAlign w:val="bottom"/>
          </w:tcPr>
          <w:p>
            <w:pPr>
              <w:jc w:val="center"/>
              <w:spacing w:after="0"/>
              <w:rPr>
                <w:sz w:val="20"/>
                <w:szCs w:val="20"/>
                <w:color w:val="auto"/>
              </w:rPr>
            </w:pPr>
            <w:r>
              <w:rPr>
                <w:rFonts w:ascii="Arial" w:cs="Arial" w:eastAsia="Arial" w:hAnsi="Arial"/>
                <w:sz w:val="16"/>
                <w:szCs w:val="16"/>
                <w:color w:val="auto"/>
              </w:rPr>
              <w:t>Recognized</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Italpreziosi</w:t>
            </w:r>
          </w:p>
        </w:tc>
        <w:tc>
          <w:tcPr>
            <w:tcW w:w="354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ITALY</w:t>
            </w:r>
          </w:p>
        </w:tc>
        <w:tc>
          <w:tcPr>
            <w:tcW w:w="2260" w:type="dxa"/>
            <w:vAlign w:val="bottom"/>
          </w:tcPr>
          <w:p>
            <w:pPr>
              <w:jc w:val="center"/>
              <w:spacing w:after="0"/>
              <w:rPr>
                <w:sz w:val="20"/>
                <w:szCs w:val="20"/>
                <w:color w:val="auto"/>
              </w:rPr>
            </w:pPr>
            <w:r>
              <w:rPr>
                <w:rFonts w:ascii="Arial" w:cs="Arial" w:eastAsia="Arial" w:hAnsi="Arial"/>
                <w:sz w:val="16"/>
                <w:szCs w:val="16"/>
                <w:color w:val="auto"/>
              </w:rPr>
              <w:t>Recognized</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Japan Mint</w:t>
            </w:r>
          </w:p>
        </w:tc>
        <w:tc>
          <w:tcPr>
            <w:tcW w:w="35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JAPAN</w:t>
            </w:r>
          </w:p>
        </w:tc>
        <w:tc>
          <w:tcPr>
            <w:tcW w:w="2260" w:type="dxa"/>
            <w:vAlign w:val="bottom"/>
          </w:tcPr>
          <w:p>
            <w:pPr>
              <w:jc w:val="center"/>
              <w:spacing w:after="0"/>
              <w:rPr>
                <w:sz w:val="20"/>
                <w:szCs w:val="20"/>
                <w:color w:val="auto"/>
              </w:rPr>
            </w:pPr>
            <w:r>
              <w:rPr>
                <w:rFonts w:ascii="Arial" w:cs="Arial" w:eastAsia="Arial" w:hAnsi="Arial"/>
                <w:sz w:val="16"/>
                <w:szCs w:val="16"/>
                <w:color w:val="auto"/>
              </w:rPr>
              <w:t>Recognized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40" w:top="918"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rPr>
              <w:t>RMI Conformance Level</w:t>
            </w:r>
          </w:p>
        </w:tc>
        <w:tc>
          <w:tcPr>
            <w:tcW w:w="0" w:type="dxa"/>
            <w:vAlign w:val="bottom"/>
          </w:tcPr>
          <w:p>
            <w:pPr>
              <w:spacing w:after="0"/>
              <w:rPr>
                <w:sz w:val="1"/>
                <w:szCs w:val="1"/>
                <w:color w:val="auto"/>
              </w:rPr>
            </w:pPr>
          </w:p>
        </w:tc>
      </w:tr>
      <w:tr>
        <w:trPr>
          <w:trHeight w:val="176"/>
        </w:trPr>
        <w:tc>
          <w:tcPr>
            <w:tcW w:w="122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rPr>
              <w:t>Metal</w:t>
            </w:r>
          </w:p>
        </w:tc>
        <w:tc>
          <w:tcPr>
            <w:tcW w:w="4200" w:type="dxa"/>
            <w:vAlign w:val="bottom"/>
            <w:gridSpan w:val="2"/>
            <w:vMerge w:val="restart"/>
          </w:tcPr>
          <w:p>
            <w:pPr>
              <w:ind w:left="1040"/>
              <w:spacing w:after="0"/>
              <w:rPr>
                <w:sz w:val="20"/>
                <w:szCs w:val="20"/>
                <w:color w:val="auto"/>
              </w:rPr>
            </w:pPr>
            <w:r>
              <w:rPr>
                <w:rFonts w:ascii="Arial" w:cs="Arial" w:eastAsia="Arial" w:hAnsi="Arial"/>
                <w:sz w:val="18"/>
                <w:szCs w:val="18"/>
                <w:b w:val="1"/>
                <w:bCs w:val="1"/>
                <w:color w:val="auto"/>
              </w:rPr>
              <w:t>Standard Smelter Name</w:t>
            </w:r>
          </w:p>
        </w:tc>
        <w:tc>
          <w:tcPr>
            <w:tcW w:w="356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9"/>
              </w:rPr>
              <w:t>Smelter Facility Location</w:t>
            </w:r>
          </w:p>
        </w:tc>
        <w:tc>
          <w:tcPr>
            <w:tcW w:w="22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or LMBA/ RJC COP or</w:t>
            </w:r>
          </w:p>
        </w:tc>
        <w:tc>
          <w:tcPr>
            <w:tcW w:w="0" w:type="dxa"/>
            <w:vAlign w:val="bottom"/>
          </w:tcPr>
          <w:p>
            <w:pPr>
              <w:spacing w:after="0"/>
              <w:rPr>
                <w:sz w:val="1"/>
                <w:szCs w:val="1"/>
                <w:color w:val="auto"/>
              </w:rPr>
            </w:pPr>
          </w:p>
        </w:tc>
      </w:tr>
      <w:tr>
        <w:trPr>
          <w:trHeight w:val="243"/>
        </w:trPr>
        <w:tc>
          <w:tcPr>
            <w:tcW w:w="1220" w:type="dxa"/>
            <w:vAlign w:val="bottom"/>
            <w:gridSpan w:val="2"/>
            <w:vMerge w:val="continue"/>
          </w:tcPr>
          <w:p>
            <w:pPr>
              <w:spacing w:after="0"/>
              <w:rPr>
                <w:sz w:val="21"/>
                <w:szCs w:val="21"/>
                <w:color w:val="auto"/>
              </w:rPr>
            </w:pPr>
          </w:p>
        </w:tc>
        <w:tc>
          <w:tcPr>
            <w:tcW w:w="4200" w:type="dxa"/>
            <w:vAlign w:val="bottom"/>
            <w:gridSpan w:val="2"/>
            <w:vMerge w:val="continue"/>
          </w:tcPr>
          <w:p>
            <w:pPr>
              <w:spacing w:after="0"/>
              <w:rPr>
                <w:sz w:val="21"/>
                <w:szCs w:val="21"/>
                <w:color w:val="auto"/>
              </w:rPr>
            </w:pPr>
          </w:p>
        </w:tc>
        <w:tc>
          <w:tcPr>
            <w:tcW w:w="3560" w:type="dxa"/>
            <w:vAlign w:val="bottom"/>
            <w:gridSpan w:val="2"/>
            <w:vMerge w:val="continue"/>
          </w:tcPr>
          <w:p>
            <w:pPr>
              <w:spacing w:after="0"/>
              <w:rPr>
                <w:sz w:val="21"/>
                <w:szCs w:val="21"/>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9"/>
              </w:rPr>
              <w:t>CoC “recognized”</w:t>
            </w:r>
          </w:p>
        </w:tc>
        <w:tc>
          <w:tcPr>
            <w:tcW w:w="0" w:type="dxa"/>
            <w:vAlign w:val="bottom"/>
          </w:tcPr>
          <w:p>
            <w:pPr>
              <w:spacing w:after="0"/>
              <w:rPr>
                <w:sz w:val="1"/>
                <w:szCs w:val="1"/>
                <w:color w:val="auto"/>
              </w:rPr>
            </w:pPr>
          </w:p>
        </w:tc>
      </w:tr>
      <w:tr>
        <w:trPr>
          <w:trHeight w:val="208"/>
        </w:trPr>
        <w:tc>
          <w:tcPr>
            <w:tcW w:w="112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rPr>
              <w:t>Tungsten</w:t>
            </w:r>
          </w:p>
        </w:tc>
        <w:tc>
          <w:tcPr>
            <w:tcW w:w="100" w:type="dxa"/>
            <w:vAlign w:val="bottom"/>
          </w:tcPr>
          <w:p>
            <w:pPr>
              <w:spacing w:after="0"/>
              <w:rPr>
                <w:sz w:val="18"/>
                <w:szCs w:val="18"/>
                <w:color w:val="auto"/>
              </w:rPr>
            </w:pPr>
          </w:p>
        </w:tc>
        <w:tc>
          <w:tcPr>
            <w:tcW w:w="410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Japan New Metals Co., Ltd.</w:t>
            </w:r>
          </w:p>
        </w:tc>
        <w:tc>
          <w:tcPr>
            <w:tcW w:w="100" w:type="dxa"/>
            <w:vAlign w:val="bottom"/>
          </w:tcPr>
          <w:p>
            <w:pPr>
              <w:spacing w:after="0"/>
              <w:rPr>
                <w:sz w:val="18"/>
                <w:szCs w:val="18"/>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JAPAN</w:t>
            </w:r>
          </w:p>
        </w:tc>
        <w:tc>
          <w:tcPr>
            <w:tcW w:w="100" w:type="dxa"/>
            <w:vAlign w:val="bottom"/>
          </w:tcPr>
          <w:p>
            <w:pPr>
              <w:spacing w:after="0"/>
              <w:rPr>
                <w:sz w:val="18"/>
                <w:szCs w:val="18"/>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5"/>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Tungsten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Jiangwu H.C. Starck Tungsten Products Co., Ltd.</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rPr>
              <w:t>CHINA</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Jiangxi Copper Co., Ltd.</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rPr>
              <w:t>CHINA</w:t>
            </w:r>
          </w:p>
        </w:tc>
        <w:tc>
          <w:tcPr>
            <w:tcW w:w="2240" w:type="dxa"/>
            <w:vAlign w:val="bottom"/>
          </w:tcPr>
          <w:p>
            <w:pPr>
              <w:jc w:val="center"/>
              <w:spacing w:after="0"/>
              <w:rPr>
                <w:sz w:val="20"/>
                <w:szCs w:val="20"/>
                <w:color w:val="auto"/>
              </w:rPr>
            </w:pPr>
            <w:r>
              <w:rPr>
                <w:rFonts w:ascii="Arial" w:cs="Arial" w:eastAsia="Arial" w:hAnsi="Arial"/>
                <w:sz w:val="16"/>
                <w:szCs w:val="16"/>
                <w:color w:val="auto"/>
              </w:rPr>
              <w:t>Recognized</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Tantalum</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Jiangxi Dinghai Tantalum &amp; Niobium Co., Ltd.</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rPr>
              <w:t>CHINA</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PT Babel Inti Perkasa</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INDONESIA</w:t>
            </w:r>
          </w:p>
        </w:tc>
        <w:tc>
          <w:tcPr>
            <w:tcW w:w="2240" w:type="dxa"/>
            <w:vAlign w:val="bottom"/>
          </w:tcPr>
          <w:p>
            <w:pPr>
              <w:jc w:val="center"/>
              <w:spacing w:after="0"/>
              <w:rPr>
                <w:sz w:val="20"/>
                <w:szCs w:val="20"/>
                <w:color w:val="auto"/>
              </w:rPr>
            </w:pPr>
            <w:r>
              <w:rPr>
                <w:rFonts w:ascii="Arial" w:cs="Arial" w:eastAsia="Arial" w:hAnsi="Arial"/>
                <w:sz w:val="16"/>
                <w:szCs w:val="16"/>
                <w:color w:val="auto"/>
              </w:rPr>
              <w:t>Unknown</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PT Babel Surya Alam Lestari</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INDONESIA</w:t>
            </w:r>
          </w:p>
        </w:tc>
        <w:tc>
          <w:tcPr>
            <w:tcW w:w="2240" w:type="dxa"/>
            <w:vAlign w:val="bottom"/>
          </w:tcPr>
          <w:p>
            <w:pPr>
              <w:jc w:val="center"/>
              <w:spacing w:after="0"/>
              <w:rPr>
                <w:sz w:val="20"/>
                <w:szCs w:val="20"/>
                <w:color w:val="auto"/>
              </w:rPr>
            </w:pPr>
            <w:r>
              <w:rPr>
                <w:rFonts w:ascii="Arial" w:cs="Arial" w:eastAsia="Arial" w:hAnsi="Arial"/>
                <w:sz w:val="16"/>
                <w:szCs w:val="16"/>
                <w:color w:val="auto"/>
              </w:rPr>
              <w:t>Unknown</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PT Bukit Timah</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INDONESIA</w:t>
            </w:r>
          </w:p>
        </w:tc>
        <w:tc>
          <w:tcPr>
            <w:tcW w:w="2240" w:type="dxa"/>
            <w:vAlign w:val="bottom"/>
          </w:tcPr>
          <w:p>
            <w:pPr>
              <w:jc w:val="center"/>
              <w:spacing w:after="0"/>
              <w:rPr>
                <w:sz w:val="20"/>
                <w:szCs w:val="20"/>
                <w:color w:val="auto"/>
              </w:rPr>
            </w:pPr>
            <w:r>
              <w:rPr>
                <w:rFonts w:ascii="Arial" w:cs="Arial" w:eastAsia="Arial" w:hAnsi="Arial"/>
                <w:sz w:val="16"/>
                <w:szCs w:val="16"/>
                <w:color w:val="auto"/>
              </w:rPr>
              <w:t>Unknown</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Tungsten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Jiangxi Gan Bei Tungsten Co., Ltd.</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rPr>
              <w:t>CHINA</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Jiangxi New Nanshan Technology Ltd.</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rPr>
              <w:t>CHINA</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PT Refined Bangka Tin</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INDONESIA</w:t>
            </w:r>
          </w:p>
        </w:tc>
        <w:tc>
          <w:tcPr>
            <w:tcW w:w="2240" w:type="dxa"/>
            <w:vAlign w:val="bottom"/>
          </w:tcPr>
          <w:p>
            <w:pPr>
              <w:jc w:val="center"/>
              <w:spacing w:after="0"/>
              <w:rPr>
                <w:sz w:val="20"/>
                <w:szCs w:val="20"/>
                <w:color w:val="auto"/>
              </w:rPr>
            </w:pPr>
            <w:r>
              <w:rPr>
                <w:rFonts w:ascii="Arial" w:cs="Arial" w:eastAsia="Arial" w:hAnsi="Arial"/>
                <w:sz w:val="16"/>
                <w:szCs w:val="16"/>
                <w:color w:val="auto"/>
              </w:rPr>
              <w:t>Unknown</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PT Sariwiguna Binasentosa</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INDONESIA</w:t>
            </w:r>
          </w:p>
        </w:tc>
        <w:tc>
          <w:tcPr>
            <w:tcW w:w="2240" w:type="dxa"/>
            <w:vAlign w:val="bottom"/>
          </w:tcPr>
          <w:p>
            <w:pPr>
              <w:jc w:val="center"/>
              <w:spacing w:after="0"/>
              <w:rPr>
                <w:sz w:val="20"/>
                <w:szCs w:val="20"/>
                <w:color w:val="auto"/>
              </w:rPr>
            </w:pPr>
            <w:r>
              <w:rPr>
                <w:rFonts w:ascii="Arial" w:cs="Arial" w:eastAsia="Arial" w:hAnsi="Arial"/>
                <w:sz w:val="16"/>
                <w:szCs w:val="16"/>
                <w:color w:val="auto"/>
              </w:rPr>
              <w:t>Unknown</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PT Stanindo Inti Perkasa</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INDONESIA</w:t>
            </w:r>
          </w:p>
        </w:tc>
        <w:tc>
          <w:tcPr>
            <w:tcW w:w="2240" w:type="dxa"/>
            <w:vAlign w:val="bottom"/>
          </w:tcPr>
          <w:p>
            <w:pPr>
              <w:jc w:val="center"/>
              <w:spacing w:after="0"/>
              <w:rPr>
                <w:sz w:val="20"/>
                <w:szCs w:val="20"/>
                <w:color w:val="auto"/>
              </w:rPr>
            </w:pPr>
            <w:r>
              <w:rPr>
                <w:rFonts w:ascii="Arial" w:cs="Arial" w:eastAsia="Arial" w:hAnsi="Arial"/>
                <w:sz w:val="16"/>
                <w:szCs w:val="16"/>
                <w:color w:val="auto"/>
              </w:rPr>
              <w:t>Unknown</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Tantalum</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Jiangxi Sanshi Nonferrous Metals Co., Ltd</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rPr>
              <w:t>CHINA</w:t>
            </w:r>
          </w:p>
        </w:tc>
        <w:tc>
          <w:tcPr>
            <w:tcW w:w="2240" w:type="dxa"/>
            <w:vAlign w:val="bottom"/>
          </w:tcPr>
          <w:p>
            <w:pPr>
              <w:jc w:val="center"/>
              <w:spacing w:after="0"/>
              <w:rPr>
                <w:sz w:val="20"/>
                <w:szCs w:val="20"/>
                <w:color w:val="auto"/>
              </w:rPr>
            </w:pPr>
            <w:r>
              <w:rPr>
                <w:rFonts w:ascii="Arial" w:cs="Arial" w:eastAsia="Arial" w:hAnsi="Arial"/>
                <w:sz w:val="16"/>
                <w:szCs w:val="16"/>
                <w:color w:val="auto"/>
              </w:rPr>
              <w:t>Active</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Tantalum</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Jiangxi Tuohong New Raw Material</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rPr>
              <w:t>CHINA</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PT Timah Nusantara</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INDONESIA</w:t>
            </w:r>
          </w:p>
        </w:tc>
        <w:tc>
          <w:tcPr>
            <w:tcW w:w="2240" w:type="dxa"/>
            <w:vAlign w:val="bottom"/>
          </w:tcPr>
          <w:p>
            <w:pPr>
              <w:jc w:val="center"/>
              <w:spacing w:after="0"/>
              <w:rPr>
                <w:sz w:val="20"/>
                <w:szCs w:val="20"/>
                <w:color w:val="auto"/>
              </w:rPr>
            </w:pPr>
            <w:r>
              <w:rPr>
                <w:rFonts w:ascii="Arial" w:cs="Arial" w:eastAsia="Arial" w:hAnsi="Arial"/>
                <w:sz w:val="16"/>
                <w:szCs w:val="16"/>
                <w:color w:val="auto"/>
              </w:rPr>
              <w:t>Unknown</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PT Tinindo Inter Nusa</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INDONESIA</w:t>
            </w:r>
          </w:p>
        </w:tc>
        <w:tc>
          <w:tcPr>
            <w:tcW w:w="2240" w:type="dxa"/>
            <w:vAlign w:val="bottom"/>
          </w:tcPr>
          <w:p>
            <w:pPr>
              <w:jc w:val="center"/>
              <w:spacing w:after="0"/>
              <w:rPr>
                <w:sz w:val="20"/>
                <w:szCs w:val="20"/>
                <w:color w:val="auto"/>
              </w:rPr>
            </w:pPr>
            <w:r>
              <w:rPr>
                <w:rFonts w:ascii="Arial" w:cs="Arial" w:eastAsia="Arial" w:hAnsi="Arial"/>
                <w:sz w:val="16"/>
                <w:szCs w:val="16"/>
                <w:color w:val="auto"/>
              </w:rPr>
              <w:t>Unknown</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PT Tommy Utama</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INDONESIA</w:t>
            </w:r>
          </w:p>
        </w:tc>
        <w:tc>
          <w:tcPr>
            <w:tcW w:w="2240" w:type="dxa"/>
            <w:vAlign w:val="bottom"/>
          </w:tcPr>
          <w:p>
            <w:pPr>
              <w:jc w:val="center"/>
              <w:spacing w:after="0"/>
              <w:rPr>
                <w:sz w:val="20"/>
                <w:szCs w:val="20"/>
                <w:color w:val="auto"/>
              </w:rPr>
            </w:pPr>
            <w:r>
              <w:rPr>
                <w:rFonts w:ascii="Arial" w:cs="Arial" w:eastAsia="Arial" w:hAnsi="Arial"/>
                <w:sz w:val="16"/>
                <w:szCs w:val="16"/>
                <w:color w:val="auto"/>
              </w:rPr>
              <w:t>Unknown</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Tungsten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Jiangxi Xinsheng Tungsten Industry Co., Ltd.</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rPr>
              <w:t>CHINA</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Tantalum</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QuantumClean</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UNITED STATES</w:t>
            </w:r>
          </w:p>
        </w:tc>
        <w:tc>
          <w:tcPr>
            <w:tcW w:w="2240" w:type="dxa"/>
            <w:vAlign w:val="bottom"/>
          </w:tcPr>
          <w:p>
            <w:pPr>
              <w:jc w:val="center"/>
              <w:spacing w:after="0"/>
              <w:rPr>
                <w:sz w:val="20"/>
                <w:szCs w:val="20"/>
                <w:color w:val="auto"/>
              </w:rPr>
            </w:pPr>
            <w:r>
              <w:rPr>
                <w:rFonts w:ascii="Arial" w:cs="Arial" w:eastAsia="Arial" w:hAnsi="Arial"/>
                <w:sz w:val="16"/>
                <w:szCs w:val="16"/>
                <w:color w:val="auto"/>
              </w:rPr>
              <w:t>Unknown</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Tungsten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Jiangxi Yaosheng Tungsten Co., Ltd.</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rPr>
              <w:t>CHINA</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Tantalum</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JiuJiang JinXin Nonferrous Metals Co., Ltd.</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rPr>
              <w:t>CHINA</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Tantalum</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Jiujiang Nonferrous Metals Smelting Company Limited</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rPr>
              <w:t>CHINA</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Tantalum</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Jiujiang Zhongao Tantalum &amp; Niobium Co., Ltd.</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rPr>
              <w:t>CHINA</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JX Nippon Mining &amp; Metals Co., Ltd.</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rPr>
              <w:t>JAPAN</w:t>
            </w:r>
          </w:p>
        </w:tc>
        <w:tc>
          <w:tcPr>
            <w:tcW w:w="2240" w:type="dxa"/>
            <w:vAlign w:val="bottom"/>
          </w:tcPr>
          <w:p>
            <w:pPr>
              <w:jc w:val="center"/>
              <w:spacing w:after="0"/>
              <w:rPr>
                <w:sz w:val="20"/>
                <w:szCs w:val="20"/>
                <w:color w:val="auto"/>
              </w:rPr>
            </w:pPr>
            <w:r>
              <w:rPr>
                <w:rFonts w:ascii="Arial" w:cs="Arial" w:eastAsia="Arial" w:hAnsi="Arial"/>
                <w:sz w:val="16"/>
                <w:szCs w:val="16"/>
                <w:color w:val="auto"/>
              </w:rPr>
              <w:t>Recognized</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Kazzinc</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rPr>
              <w:t>KAZAKHSTAN</w:t>
            </w:r>
          </w:p>
        </w:tc>
        <w:tc>
          <w:tcPr>
            <w:tcW w:w="2240" w:type="dxa"/>
            <w:vAlign w:val="bottom"/>
          </w:tcPr>
          <w:p>
            <w:pPr>
              <w:jc w:val="center"/>
              <w:spacing w:after="0"/>
              <w:rPr>
                <w:sz w:val="20"/>
                <w:szCs w:val="20"/>
                <w:color w:val="auto"/>
              </w:rPr>
            </w:pPr>
            <w:r>
              <w:rPr>
                <w:rFonts w:ascii="Arial" w:cs="Arial" w:eastAsia="Arial" w:hAnsi="Arial"/>
                <w:sz w:val="16"/>
                <w:szCs w:val="16"/>
                <w:color w:val="auto"/>
              </w:rPr>
              <w:t>Recognized</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Tantalum</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KEMET de Mexico</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rPr>
              <w:t>MEXICO</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Tungsten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Kenee Mining Corporation</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rPr>
              <w:t>VIETNAM</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Tungsten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Kennametal Fallon</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UNITED STATES</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Tungsten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Kennametal Huntsville</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UNITED STATES</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Kennecott Utah Copper LLC</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UNITED STATES</w:t>
            </w:r>
          </w:p>
        </w:tc>
        <w:tc>
          <w:tcPr>
            <w:tcW w:w="2240" w:type="dxa"/>
            <w:vAlign w:val="bottom"/>
          </w:tcPr>
          <w:p>
            <w:pPr>
              <w:jc w:val="center"/>
              <w:spacing w:after="0"/>
              <w:rPr>
                <w:sz w:val="20"/>
                <w:szCs w:val="20"/>
                <w:color w:val="auto"/>
              </w:rPr>
            </w:pPr>
            <w:r>
              <w:rPr>
                <w:rFonts w:ascii="Arial" w:cs="Arial" w:eastAsia="Arial" w:hAnsi="Arial"/>
                <w:sz w:val="16"/>
                <w:szCs w:val="16"/>
                <w:color w:val="auto"/>
              </w:rPr>
              <w:t>Recognized</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KGHM Polska Miedz S.A.</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rPr>
              <w:t>POLAND</w:t>
            </w:r>
          </w:p>
        </w:tc>
        <w:tc>
          <w:tcPr>
            <w:tcW w:w="2240" w:type="dxa"/>
            <w:vAlign w:val="bottom"/>
          </w:tcPr>
          <w:p>
            <w:pPr>
              <w:jc w:val="center"/>
              <w:spacing w:after="0"/>
              <w:rPr>
                <w:sz w:val="20"/>
                <w:szCs w:val="20"/>
                <w:color w:val="auto"/>
              </w:rPr>
            </w:pPr>
            <w:r>
              <w:rPr>
                <w:rFonts w:ascii="Arial" w:cs="Arial" w:eastAsia="Arial" w:hAnsi="Arial"/>
                <w:sz w:val="16"/>
                <w:szCs w:val="16"/>
                <w:color w:val="auto"/>
              </w:rPr>
              <w:t>Recognized</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Kochi daiicihi Yamaminami plant</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rPr>
              <w:t>JAPAN</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Great Wall Precious Metals Co., Ltd. of CBPM</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rPr>
              <w:t>CHINA</w:t>
            </w:r>
          </w:p>
        </w:tc>
        <w:tc>
          <w:tcPr>
            <w:tcW w:w="2240" w:type="dxa"/>
            <w:vAlign w:val="bottom"/>
          </w:tcPr>
          <w:p>
            <w:pPr>
              <w:jc w:val="center"/>
              <w:spacing w:after="0"/>
              <w:rPr>
                <w:sz w:val="20"/>
                <w:szCs w:val="20"/>
                <w:color w:val="auto"/>
              </w:rPr>
            </w:pPr>
            <w:r>
              <w:rPr>
                <w:rFonts w:ascii="Arial" w:cs="Arial" w:eastAsia="Arial" w:hAnsi="Arial"/>
                <w:sz w:val="16"/>
                <w:szCs w:val="16"/>
                <w:color w:val="auto"/>
              </w:rPr>
              <w:t>Unknown</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Kojima Chemicals Co., Ltd.</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rPr>
              <w:t>JAPAN</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Korea Zinc Co., Ltd.</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rPr>
              <w:t>SOUTH KOREA</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Tongling Nonferrous Metals Group Co., Ltd.</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rPr>
              <w:t>CHINA</w:t>
            </w:r>
          </w:p>
        </w:tc>
        <w:tc>
          <w:tcPr>
            <w:tcW w:w="2240" w:type="dxa"/>
            <w:vAlign w:val="bottom"/>
          </w:tcPr>
          <w:p>
            <w:pPr>
              <w:jc w:val="center"/>
              <w:spacing w:after="0"/>
              <w:rPr>
                <w:sz w:val="20"/>
                <w:szCs w:val="20"/>
                <w:color w:val="auto"/>
              </w:rPr>
            </w:pPr>
            <w:r>
              <w:rPr>
                <w:rFonts w:ascii="Arial" w:cs="Arial" w:eastAsia="Arial" w:hAnsi="Arial"/>
                <w:sz w:val="16"/>
                <w:szCs w:val="16"/>
                <w:color w:val="auto"/>
              </w:rPr>
              <w:t>Unknown</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Torecom</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rPr>
              <w:t>SOUTH KOREA</w:t>
            </w:r>
          </w:p>
        </w:tc>
        <w:tc>
          <w:tcPr>
            <w:tcW w:w="2240" w:type="dxa"/>
            <w:vAlign w:val="bottom"/>
          </w:tcPr>
          <w:p>
            <w:pPr>
              <w:jc w:val="center"/>
              <w:spacing w:after="0"/>
              <w:rPr>
                <w:sz w:val="20"/>
                <w:szCs w:val="20"/>
                <w:color w:val="auto"/>
              </w:rPr>
            </w:pPr>
            <w:r>
              <w:rPr>
                <w:rFonts w:ascii="Arial" w:cs="Arial" w:eastAsia="Arial" w:hAnsi="Arial"/>
                <w:sz w:val="16"/>
                <w:szCs w:val="16"/>
                <w:color w:val="auto"/>
              </w:rPr>
              <w:t>Unknown</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Tungsten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Lianyou Metals Co., Ltd.</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TAIWAN</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Tungsten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Lianyou Resources Co., Ltd.</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TAIWAN</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LS MnM Inc.</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rPr>
              <w:t>SOUTH KOREA</w:t>
            </w:r>
          </w:p>
        </w:tc>
        <w:tc>
          <w:tcPr>
            <w:tcW w:w="2240" w:type="dxa"/>
            <w:vAlign w:val="bottom"/>
          </w:tcPr>
          <w:p>
            <w:pPr>
              <w:jc w:val="center"/>
              <w:spacing w:after="0"/>
              <w:rPr>
                <w:sz w:val="20"/>
                <w:szCs w:val="20"/>
                <w:color w:val="auto"/>
              </w:rPr>
            </w:pPr>
            <w:r>
              <w:rPr>
                <w:rFonts w:ascii="Arial" w:cs="Arial" w:eastAsia="Arial" w:hAnsi="Arial"/>
                <w:sz w:val="16"/>
                <w:szCs w:val="16"/>
                <w:color w:val="auto"/>
              </w:rPr>
              <w:t>Recognized</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Luna Smelter, Ltd.</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rPr>
              <w:t>RWANDA</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VQB Mineral and Trading Group JSC</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rPr>
              <w:t>VIETNAM</w:t>
            </w:r>
          </w:p>
        </w:tc>
        <w:tc>
          <w:tcPr>
            <w:tcW w:w="2240" w:type="dxa"/>
            <w:vAlign w:val="bottom"/>
          </w:tcPr>
          <w:p>
            <w:pPr>
              <w:jc w:val="center"/>
              <w:spacing w:after="0"/>
              <w:rPr>
                <w:sz w:val="20"/>
                <w:szCs w:val="20"/>
                <w:color w:val="auto"/>
              </w:rPr>
            </w:pPr>
            <w:r>
              <w:rPr>
                <w:rFonts w:ascii="Arial" w:cs="Arial" w:eastAsia="Arial" w:hAnsi="Arial"/>
                <w:sz w:val="16"/>
                <w:szCs w:val="16"/>
                <w:color w:val="auto"/>
              </w:rPr>
              <w:t>Unknown</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Magnu's Minerais Metais e Ligas Ltda.</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BRAZIL</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Malaysia Smelting Corporation Berhad (Port Klang)</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MALAYSIA</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Tungsten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Malipo Haiyu Tungsten Co., Ltd.</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rPr>
              <w:t>CHINA</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Tungsten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Masan High-Tech Materials</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rPr>
              <w:t>VIETNAM</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Materion</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UNITED STATES</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40" w:top="918"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rPr>
              <w:t>RMI Conformance Level</w:t>
            </w:r>
          </w:p>
        </w:tc>
        <w:tc>
          <w:tcPr>
            <w:tcW w:w="0" w:type="dxa"/>
            <w:vAlign w:val="bottom"/>
          </w:tcPr>
          <w:p>
            <w:pPr>
              <w:spacing w:after="0"/>
              <w:rPr>
                <w:sz w:val="1"/>
                <w:szCs w:val="1"/>
                <w:color w:val="auto"/>
              </w:rPr>
            </w:pPr>
          </w:p>
        </w:tc>
      </w:tr>
      <w:tr>
        <w:trPr>
          <w:trHeight w:val="175"/>
        </w:trPr>
        <w:tc>
          <w:tcPr>
            <w:tcW w:w="122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rPr>
              <w:t>Metal</w:t>
            </w:r>
          </w:p>
        </w:tc>
        <w:tc>
          <w:tcPr>
            <w:tcW w:w="4200" w:type="dxa"/>
            <w:vAlign w:val="bottom"/>
            <w:gridSpan w:val="2"/>
            <w:vMerge w:val="restart"/>
          </w:tcPr>
          <w:p>
            <w:pPr>
              <w:ind w:left="1040"/>
              <w:spacing w:after="0"/>
              <w:rPr>
                <w:sz w:val="20"/>
                <w:szCs w:val="20"/>
                <w:color w:val="auto"/>
              </w:rPr>
            </w:pPr>
            <w:r>
              <w:rPr>
                <w:rFonts w:ascii="Arial" w:cs="Arial" w:eastAsia="Arial" w:hAnsi="Arial"/>
                <w:sz w:val="18"/>
                <w:szCs w:val="18"/>
                <w:b w:val="1"/>
                <w:bCs w:val="1"/>
                <w:color w:val="auto"/>
              </w:rPr>
              <w:t>Standard Smelter Name</w:t>
            </w:r>
          </w:p>
        </w:tc>
        <w:tc>
          <w:tcPr>
            <w:tcW w:w="356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9"/>
              </w:rPr>
              <w:t>Smelter Facility Location</w:t>
            </w:r>
          </w:p>
        </w:tc>
        <w:tc>
          <w:tcPr>
            <w:tcW w:w="22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or LMBA/ RJC COP or</w:t>
            </w:r>
          </w:p>
        </w:tc>
        <w:tc>
          <w:tcPr>
            <w:tcW w:w="0" w:type="dxa"/>
            <w:vAlign w:val="bottom"/>
          </w:tcPr>
          <w:p>
            <w:pPr>
              <w:spacing w:after="0"/>
              <w:rPr>
                <w:sz w:val="1"/>
                <w:szCs w:val="1"/>
                <w:color w:val="auto"/>
              </w:rPr>
            </w:pPr>
          </w:p>
        </w:tc>
      </w:tr>
      <w:tr>
        <w:trPr>
          <w:trHeight w:val="243"/>
        </w:trPr>
        <w:tc>
          <w:tcPr>
            <w:tcW w:w="1220" w:type="dxa"/>
            <w:vAlign w:val="bottom"/>
            <w:gridSpan w:val="2"/>
            <w:vMerge w:val="continue"/>
          </w:tcPr>
          <w:p>
            <w:pPr>
              <w:spacing w:after="0"/>
              <w:rPr>
                <w:sz w:val="21"/>
                <w:szCs w:val="21"/>
                <w:color w:val="auto"/>
              </w:rPr>
            </w:pPr>
          </w:p>
        </w:tc>
        <w:tc>
          <w:tcPr>
            <w:tcW w:w="4200" w:type="dxa"/>
            <w:vAlign w:val="bottom"/>
            <w:gridSpan w:val="2"/>
            <w:vMerge w:val="continue"/>
          </w:tcPr>
          <w:p>
            <w:pPr>
              <w:spacing w:after="0"/>
              <w:rPr>
                <w:sz w:val="21"/>
                <w:szCs w:val="21"/>
                <w:color w:val="auto"/>
              </w:rPr>
            </w:pPr>
          </w:p>
        </w:tc>
        <w:tc>
          <w:tcPr>
            <w:tcW w:w="3560" w:type="dxa"/>
            <w:vAlign w:val="bottom"/>
            <w:gridSpan w:val="2"/>
            <w:vMerge w:val="continue"/>
          </w:tcPr>
          <w:p>
            <w:pPr>
              <w:spacing w:after="0"/>
              <w:rPr>
                <w:sz w:val="21"/>
                <w:szCs w:val="21"/>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9"/>
              </w:rPr>
              <w:t>CoC “recognized”</w:t>
            </w:r>
          </w:p>
        </w:tc>
        <w:tc>
          <w:tcPr>
            <w:tcW w:w="0" w:type="dxa"/>
            <w:vAlign w:val="bottom"/>
          </w:tcPr>
          <w:p>
            <w:pPr>
              <w:spacing w:after="0"/>
              <w:rPr>
                <w:sz w:val="1"/>
                <w:szCs w:val="1"/>
                <w:color w:val="auto"/>
              </w:rPr>
            </w:pPr>
          </w:p>
        </w:tc>
      </w:tr>
      <w:tr>
        <w:trPr>
          <w:trHeight w:val="208"/>
        </w:trPr>
        <w:tc>
          <w:tcPr>
            <w:tcW w:w="112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rPr>
              <w:t>Gold</w:t>
            </w:r>
          </w:p>
        </w:tc>
        <w:tc>
          <w:tcPr>
            <w:tcW w:w="100" w:type="dxa"/>
            <w:vAlign w:val="bottom"/>
          </w:tcPr>
          <w:p>
            <w:pPr>
              <w:spacing w:after="0"/>
              <w:rPr>
                <w:sz w:val="18"/>
                <w:szCs w:val="18"/>
                <w:color w:val="auto"/>
              </w:rPr>
            </w:pPr>
          </w:p>
        </w:tc>
        <w:tc>
          <w:tcPr>
            <w:tcW w:w="410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Matsuda Sangyo Co., Ltd.</w:t>
            </w:r>
          </w:p>
        </w:tc>
        <w:tc>
          <w:tcPr>
            <w:tcW w:w="100" w:type="dxa"/>
            <w:vAlign w:val="bottom"/>
          </w:tcPr>
          <w:p>
            <w:pPr>
              <w:spacing w:after="0"/>
              <w:rPr>
                <w:sz w:val="18"/>
                <w:szCs w:val="18"/>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JAPAN</w:t>
            </w:r>
          </w:p>
        </w:tc>
        <w:tc>
          <w:tcPr>
            <w:tcW w:w="100" w:type="dxa"/>
            <w:vAlign w:val="bottom"/>
          </w:tcPr>
          <w:p>
            <w:pPr>
              <w:spacing w:after="0"/>
              <w:rPr>
                <w:sz w:val="18"/>
                <w:szCs w:val="18"/>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Recognized</w:t>
            </w:r>
          </w:p>
        </w:tc>
        <w:tc>
          <w:tcPr>
            <w:tcW w:w="0" w:type="dxa"/>
            <w:vAlign w:val="bottom"/>
          </w:tcPr>
          <w:p>
            <w:pPr>
              <w:spacing w:after="0"/>
              <w:rPr>
                <w:sz w:val="1"/>
                <w:szCs w:val="1"/>
                <w:color w:val="auto"/>
              </w:rPr>
            </w:pPr>
          </w:p>
        </w:tc>
      </w:tr>
      <w:tr>
        <w:trPr>
          <w:trHeight w:val="215"/>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Yunnan Chengfeng Non-ferrous Metals Co., Ltd.</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rPr>
              <w:t>CHINA</w:t>
            </w:r>
          </w:p>
        </w:tc>
        <w:tc>
          <w:tcPr>
            <w:tcW w:w="2240" w:type="dxa"/>
            <w:vAlign w:val="bottom"/>
          </w:tcPr>
          <w:p>
            <w:pPr>
              <w:jc w:val="center"/>
              <w:spacing w:after="0"/>
              <w:rPr>
                <w:sz w:val="20"/>
                <w:szCs w:val="20"/>
                <w:color w:val="auto"/>
              </w:rPr>
            </w:pPr>
            <w:r>
              <w:rPr>
                <w:rFonts w:ascii="Arial" w:cs="Arial" w:eastAsia="Arial" w:hAnsi="Arial"/>
                <w:sz w:val="16"/>
                <w:szCs w:val="16"/>
                <w:color w:val="auto"/>
              </w:rPr>
              <w:t>Unknown</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Metallic Resources, Inc.</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UNITED STATES</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Tantalum</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Metallurgical Products India Pvt., Ltd.</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rPr>
              <w:t>INDIA</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Metalor Technologies (Hong Kong) Ltd.</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rPr>
              <w:t>CHINA</w:t>
            </w:r>
          </w:p>
        </w:tc>
        <w:tc>
          <w:tcPr>
            <w:tcW w:w="2240" w:type="dxa"/>
            <w:vAlign w:val="bottom"/>
          </w:tcPr>
          <w:p>
            <w:pPr>
              <w:jc w:val="center"/>
              <w:spacing w:after="0"/>
              <w:rPr>
                <w:sz w:val="20"/>
                <w:szCs w:val="20"/>
                <w:color w:val="auto"/>
              </w:rPr>
            </w:pPr>
            <w:r>
              <w:rPr>
                <w:rFonts w:ascii="Arial" w:cs="Arial" w:eastAsia="Arial" w:hAnsi="Arial"/>
                <w:sz w:val="16"/>
                <w:szCs w:val="16"/>
                <w:color w:val="auto"/>
              </w:rPr>
              <w:t>Recognized</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Metalor Technologies (Singapore) Pte., Ltd.</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rPr>
              <w:t>SINGAPORE</w:t>
            </w:r>
          </w:p>
        </w:tc>
        <w:tc>
          <w:tcPr>
            <w:tcW w:w="2240" w:type="dxa"/>
            <w:vAlign w:val="bottom"/>
          </w:tcPr>
          <w:p>
            <w:pPr>
              <w:jc w:val="center"/>
              <w:spacing w:after="0"/>
              <w:rPr>
                <w:sz w:val="20"/>
                <w:szCs w:val="20"/>
                <w:color w:val="auto"/>
              </w:rPr>
            </w:pPr>
            <w:r>
              <w:rPr>
                <w:rFonts w:ascii="Arial" w:cs="Arial" w:eastAsia="Arial" w:hAnsi="Arial"/>
                <w:sz w:val="16"/>
                <w:szCs w:val="16"/>
                <w:color w:val="auto"/>
              </w:rPr>
              <w:t>Recognized</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Guangdong Jinding Gold Limited</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rPr>
              <w:t>CHINA</w:t>
            </w:r>
          </w:p>
        </w:tc>
        <w:tc>
          <w:tcPr>
            <w:tcW w:w="2240" w:type="dxa"/>
            <w:vAlign w:val="bottom"/>
          </w:tcPr>
          <w:p>
            <w:pPr>
              <w:jc w:val="center"/>
              <w:spacing w:after="0"/>
              <w:rPr>
                <w:sz w:val="20"/>
                <w:szCs w:val="20"/>
                <w:color w:val="auto"/>
              </w:rPr>
            </w:pPr>
            <w:r>
              <w:rPr>
                <w:rFonts w:ascii="Arial" w:cs="Arial" w:eastAsia="Arial" w:hAnsi="Arial"/>
                <w:sz w:val="16"/>
                <w:szCs w:val="16"/>
                <w:color w:val="auto"/>
              </w:rPr>
              <w:t>Unknown</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Metalor Technologies (Suzhou) Ltd.</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rPr>
              <w:t>CHINA</w:t>
            </w:r>
          </w:p>
        </w:tc>
        <w:tc>
          <w:tcPr>
            <w:tcW w:w="2240" w:type="dxa"/>
            <w:vAlign w:val="bottom"/>
          </w:tcPr>
          <w:p>
            <w:pPr>
              <w:jc w:val="center"/>
              <w:spacing w:after="0"/>
              <w:rPr>
                <w:sz w:val="20"/>
                <w:szCs w:val="20"/>
                <w:color w:val="auto"/>
              </w:rPr>
            </w:pPr>
            <w:r>
              <w:rPr>
                <w:rFonts w:ascii="Arial" w:cs="Arial" w:eastAsia="Arial" w:hAnsi="Arial"/>
                <w:sz w:val="16"/>
                <w:szCs w:val="16"/>
                <w:color w:val="auto"/>
              </w:rPr>
              <w:t>Recognized</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Metalor Technologies S.A.</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rPr>
              <w:t>SWITZERLAND</w:t>
            </w:r>
          </w:p>
        </w:tc>
        <w:tc>
          <w:tcPr>
            <w:tcW w:w="2240" w:type="dxa"/>
            <w:vAlign w:val="bottom"/>
          </w:tcPr>
          <w:p>
            <w:pPr>
              <w:jc w:val="center"/>
              <w:spacing w:after="0"/>
              <w:rPr>
                <w:sz w:val="20"/>
                <w:szCs w:val="20"/>
                <w:color w:val="auto"/>
              </w:rPr>
            </w:pPr>
            <w:r>
              <w:rPr>
                <w:rFonts w:ascii="Arial" w:cs="Arial" w:eastAsia="Arial" w:hAnsi="Arial"/>
                <w:sz w:val="16"/>
                <w:szCs w:val="16"/>
                <w:color w:val="auto"/>
              </w:rPr>
              <w:t>Recognized</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Metalor USA Refining Corporation</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UNITED STATES</w:t>
            </w:r>
          </w:p>
        </w:tc>
        <w:tc>
          <w:tcPr>
            <w:tcW w:w="2240" w:type="dxa"/>
            <w:vAlign w:val="bottom"/>
          </w:tcPr>
          <w:p>
            <w:pPr>
              <w:jc w:val="center"/>
              <w:spacing w:after="0"/>
              <w:rPr>
                <w:sz w:val="20"/>
                <w:szCs w:val="20"/>
                <w:color w:val="auto"/>
              </w:rPr>
            </w:pPr>
            <w:r>
              <w:rPr>
                <w:rFonts w:ascii="Arial" w:cs="Arial" w:eastAsia="Arial" w:hAnsi="Arial"/>
                <w:sz w:val="16"/>
                <w:szCs w:val="16"/>
                <w:color w:val="auto"/>
              </w:rPr>
              <w:t>Recognized</w:t>
            </w:r>
          </w:p>
        </w:tc>
        <w:tc>
          <w:tcPr>
            <w:tcW w:w="0" w:type="dxa"/>
            <w:vAlign w:val="bottom"/>
          </w:tcPr>
          <w:p>
            <w:pPr>
              <w:spacing w:after="0"/>
              <w:rPr>
                <w:sz w:val="1"/>
                <w:szCs w:val="1"/>
                <w:color w:val="auto"/>
              </w:rPr>
            </w:pPr>
          </w:p>
        </w:tc>
      </w:tr>
      <w:tr>
        <w:trPr>
          <w:trHeight w:val="164"/>
        </w:trPr>
        <w:tc>
          <w:tcPr>
            <w:tcW w:w="1220" w:type="dxa"/>
            <w:vAlign w:val="bottom"/>
            <w:gridSpan w:val="2"/>
          </w:tcPr>
          <w:p>
            <w:pPr>
              <w:ind w:left="60"/>
              <w:spacing w:after="0" w:line="164" w:lineRule="exact"/>
              <w:rPr>
                <w:sz w:val="20"/>
                <w:szCs w:val="20"/>
                <w:color w:val="auto"/>
              </w:rPr>
            </w:pPr>
            <w:r>
              <w:rPr>
                <w:rFonts w:ascii="Arial" w:cs="Arial" w:eastAsia="Arial" w:hAnsi="Arial"/>
                <w:sz w:val="16"/>
                <w:szCs w:val="16"/>
                <w:color w:val="auto"/>
              </w:rPr>
              <w:t>Tungsten</w:t>
            </w:r>
          </w:p>
        </w:tc>
        <w:tc>
          <w:tcPr>
            <w:tcW w:w="4200" w:type="dxa"/>
            <w:vAlign w:val="bottom"/>
            <w:gridSpan w:val="2"/>
          </w:tcPr>
          <w:p>
            <w:pPr>
              <w:ind w:left="80"/>
              <w:spacing w:after="0" w:line="164" w:lineRule="exact"/>
              <w:rPr>
                <w:sz w:val="20"/>
                <w:szCs w:val="20"/>
                <w:color w:val="auto"/>
              </w:rPr>
            </w:pPr>
            <w:r>
              <w:rPr>
                <w:rFonts w:ascii="Arial" w:cs="Arial" w:eastAsia="Arial" w:hAnsi="Arial"/>
                <w:sz w:val="16"/>
                <w:szCs w:val="16"/>
                <w:color w:val="auto"/>
              </w:rPr>
              <w:t>Jiangxi Tonggu Non-ferrous Metallurgical &amp; Chemical</w:t>
            </w:r>
          </w:p>
        </w:tc>
        <w:tc>
          <w:tcPr>
            <w:tcW w:w="3560" w:type="dxa"/>
            <w:vAlign w:val="bottom"/>
            <w:gridSpan w:val="2"/>
          </w:tcPr>
          <w:p>
            <w:pPr>
              <w:jc w:val="center"/>
              <w:ind w:right="100"/>
              <w:spacing w:after="0" w:line="164" w:lineRule="exact"/>
              <w:rPr>
                <w:sz w:val="20"/>
                <w:szCs w:val="20"/>
                <w:color w:val="auto"/>
              </w:rPr>
            </w:pPr>
            <w:r>
              <w:rPr>
                <w:rFonts w:ascii="Arial" w:cs="Arial" w:eastAsia="Arial" w:hAnsi="Arial"/>
                <w:sz w:val="16"/>
                <w:szCs w:val="16"/>
                <w:color w:val="auto"/>
              </w:rPr>
              <w:t>CHINA</w:t>
            </w:r>
          </w:p>
        </w:tc>
        <w:tc>
          <w:tcPr>
            <w:tcW w:w="2240" w:type="dxa"/>
            <w:vAlign w:val="bottom"/>
          </w:tcPr>
          <w:p>
            <w:pPr>
              <w:jc w:val="center"/>
              <w:spacing w:after="0" w:line="164" w:lineRule="exact"/>
              <w:rPr>
                <w:sz w:val="20"/>
                <w:szCs w:val="20"/>
                <w:color w:val="auto"/>
              </w:rPr>
            </w:pPr>
            <w:r>
              <w:rPr>
                <w:rFonts w:ascii="Arial" w:cs="Arial" w:eastAsia="Arial" w:hAnsi="Arial"/>
                <w:sz w:val="16"/>
                <w:szCs w:val="16"/>
                <w:color w:val="auto"/>
              </w:rPr>
              <w:t>Unknown</w:t>
            </w: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Co., Ltd.</w:t>
            </w: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Metalurgica Met-Mex Penoles S.A. De C.V.</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rPr>
              <w:t>MEXICO</w:t>
            </w:r>
          </w:p>
        </w:tc>
        <w:tc>
          <w:tcPr>
            <w:tcW w:w="2240" w:type="dxa"/>
            <w:vAlign w:val="bottom"/>
          </w:tcPr>
          <w:p>
            <w:pPr>
              <w:jc w:val="center"/>
              <w:spacing w:after="0"/>
              <w:rPr>
                <w:sz w:val="20"/>
                <w:szCs w:val="20"/>
                <w:color w:val="auto"/>
              </w:rPr>
            </w:pPr>
            <w:r>
              <w:rPr>
                <w:rFonts w:ascii="Arial" w:cs="Arial" w:eastAsia="Arial" w:hAnsi="Arial"/>
                <w:sz w:val="16"/>
                <w:szCs w:val="16"/>
                <w:color w:val="auto"/>
              </w:rPr>
              <w:t>Recognized</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Mineracao Taboca S.A.</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BRAZIL</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Tantalum</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Mineracao Taboca S.A.</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BRAZIL</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CV Venus Inti Perkasa</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INDONESIA</w:t>
            </w:r>
          </w:p>
        </w:tc>
        <w:tc>
          <w:tcPr>
            <w:tcW w:w="2240" w:type="dxa"/>
            <w:vAlign w:val="bottom"/>
          </w:tcPr>
          <w:p>
            <w:pPr>
              <w:jc w:val="center"/>
              <w:spacing w:after="0"/>
              <w:rPr>
                <w:sz w:val="20"/>
                <w:szCs w:val="20"/>
                <w:color w:val="auto"/>
              </w:rPr>
            </w:pPr>
            <w:r>
              <w:rPr>
                <w:rFonts w:ascii="Arial" w:cs="Arial" w:eastAsia="Arial" w:hAnsi="Arial"/>
                <w:sz w:val="16"/>
                <w:szCs w:val="16"/>
                <w:color w:val="auto"/>
              </w:rPr>
              <w:t>Unknown</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Mining Minerals Resources SARL</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rPr>
              <w:t>DEMOCRATIC REPUBLIC OF THE CONGO</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Minsur</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PERU</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Mitsubishi Materials Corporation</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rPr>
              <w:t>JAPAN</w:t>
            </w:r>
          </w:p>
        </w:tc>
        <w:tc>
          <w:tcPr>
            <w:tcW w:w="2240" w:type="dxa"/>
            <w:vAlign w:val="bottom"/>
          </w:tcPr>
          <w:p>
            <w:pPr>
              <w:jc w:val="center"/>
              <w:spacing w:after="0"/>
              <w:rPr>
                <w:sz w:val="20"/>
                <w:szCs w:val="20"/>
                <w:color w:val="auto"/>
              </w:rPr>
            </w:pPr>
            <w:r>
              <w:rPr>
                <w:rFonts w:ascii="Arial" w:cs="Arial" w:eastAsia="Arial" w:hAnsi="Arial"/>
                <w:sz w:val="16"/>
                <w:szCs w:val="16"/>
                <w:color w:val="auto"/>
              </w:rPr>
              <w:t>Recognized</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Melt Metais e Ligas S.A.</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BRAZIL</w:t>
            </w:r>
          </w:p>
        </w:tc>
        <w:tc>
          <w:tcPr>
            <w:tcW w:w="2240" w:type="dxa"/>
            <w:vAlign w:val="bottom"/>
          </w:tcPr>
          <w:p>
            <w:pPr>
              <w:jc w:val="center"/>
              <w:spacing w:after="0"/>
              <w:rPr>
                <w:sz w:val="20"/>
                <w:szCs w:val="20"/>
                <w:color w:val="auto"/>
              </w:rPr>
            </w:pPr>
            <w:r>
              <w:rPr>
                <w:rFonts w:ascii="Arial" w:cs="Arial" w:eastAsia="Arial" w:hAnsi="Arial"/>
                <w:sz w:val="16"/>
                <w:szCs w:val="16"/>
                <w:color w:val="auto"/>
              </w:rPr>
              <w:t>Unknown</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Mitsubishi Materials Corporation</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rPr>
              <w:t>JAPAN</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Tantalum</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Mitsui Mining and Smelting Co., Ltd.</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rPr>
              <w:t>JAPAN</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Mitsui Mining and Smelting Co., Ltd.</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rPr>
              <w:t>JAPAN</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MKS PAMP SA</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rPr>
              <w:t>SWITZERLAND</w:t>
            </w:r>
          </w:p>
        </w:tc>
        <w:tc>
          <w:tcPr>
            <w:tcW w:w="2240" w:type="dxa"/>
            <w:vAlign w:val="bottom"/>
          </w:tcPr>
          <w:p>
            <w:pPr>
              <w:jc w:val="center"/>
              <w:spacing w:after="0"/>
              <w:rPr>
                <w:sz w:val="20"/>
                <w:szCs w:val="20"/>
                <w:color w:val="auto"/>
              </w:rPr>
            </w:pPr>
            <w:r>
              <w:rPr>
                <w:rFonts w:ascii="Arial" w:cs="Arial" w:eastAsia="Arial" w:hAnsi="Arial"/>
                <w:sz w:val="16"/>
                <w:szCs w:val="16"/>
                <w:color w:val="auto"/>
              </w:rPr>
              <w:t>Recognized</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MMTC-PAMP India Pvt., Ltd.</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rPr>
              <w:t>INDIA</w:t>
            </w:r>
          </w:p>
        </w:tc>
        <w:tc>
          <w:tcPr>
            <w:tcW w:w="2240" w:type="dxa"/>
            <w:vAlign w:val="bottom"/>
          </w:tcPr>
          <w:p>
            <w:pPr>
              <w:jc w:val="center"/>
              <w:spacing w:after="0"/>
              <w:rPr>
                <w:sz w:val="20"/>
                <w:szCs w:val="20"/>
                <w:color w:val="auto"/>
              </w:rPr>
            </w:pPr>
            <w:r>
              <w:rPr>
                <w:rFonts w:ascii="Arial" w:cs="Arial" w:eastAsia="Arial" w:hAnsi="Arial"/>
                <w:sz w:val="16"/>
                <w:szCs w:val="16"/>
                <w:color w:val="auto"/>
              </w:rPr>
              <w:t>Recognized</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Nadir Metal Rafineri San. Ve Tic. A.S.</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rPr>
              <w:t>TURKEY</w:t>
            </w:r>
          </w:p>
        </w:tc>
        <w:tc>
          <w:tcPr>
            <w:tcW w:w="2240" w:type="dxa"/>
            <w:vAlign w:val="bottom"/>
          </w:tcPr>
          <w:p>
            <w:pPr>
              <w:jc w:val="center"/>
              <w:spacing w:after="0"/>
              <w:rPr>
                <w:sz w:val="20"/>
                <w:szCs w:val="20"/>
                <w:color w:val="auto"/>
              </w:rPr>
            </w:pPr>
            <w:r>
              <w:rPr>
                <w:rFonts w:ascii="Arial" w:cs="Arial" w:eastAsia="Arial" w:hAnsi="Arial"/>
                <w:sz w:val="16"/>
                <w:szCs w:val="16"/>
                <w:color w:val="auto"/>
              </w:rPr>
              <w:t>Recognized</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Navoi Mining and Metallurgical Combinat</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UZBEKISTAN</w:t>
            </w:r>
          </w:p>
        </w:tc>
        <w:tc>
          <w:tcPr>
            <w:tcW w:w="2240" w:type="dxa"/>
            <w:vAlign w:val="bottom"/>
          </w:tcPr>
          <w:p>
            <w:pPr>
              <w:jc w:val="center"/>
              <w:spacing w:after="0"/>
              <w:rPr>
                <w:sz w:val="20"/>
                <w:szCs w:val="20"/>
                <w:color w:val="auto"/>
              </w:rPr>
            </w:pPr>
            <w:r>
              <w:rPr>
                <w:rFonts w:ascii="Arial" w:cs="Arial" w:eastAsia="Arial" w:hAnsi="Arial"/>
                <w:sz w:val="16"/>
                <w:szCs w:val="16"/>
                <w:color w:val="auto"/>
              </w:rPr>
              <w:t>Recognized</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NH Recytech Company</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rPr>
              <w:t>SOUTH KOREA</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Tungsten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Niagara Refining LLC</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UNITED STATES</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164"/>
        </w:trPr>
        <w:tc>
          <w:tcPr>
            <w:tcW w:w="1220" w:type="dxa"/>
            <w:vAlign w:val="bottom"/>
            <w:gridSpan w:val="2"/>
          </w:tcPr>
          <w:p>
            <w:pPr>
              <w:ind w:left="60"/>
              <w:spacing w:after="0" w:line="164" w:lineRule="exact"/>
              <w:rPr>
                <w:sz w:val="20"/>
                <w:szCs w:val="20"/>
                <w:color w:val="auto"/>
              </w:rPr>
            </w:pPr>
            <w:r>
              <w:rPr>
                <w:rFonts w:ascii="Arial" w:cs="Arial" w:eastAsia="Arial" w:hAnsi="Arial"/>
                <w:sz w:val="16"/>
                <w:szCs w:val="16"/>
                <w:color w:val="auto"/>
              </w:rPr>
              <w:t>Tungsten</w:t>
            </w:r>
          </w:p>
        </w:tc>
        <w:tc>
          <w:tcPr>
            <w:tcW w:w="4200" w:type="dxa"/>
            <w:vAlign w:val="bottom"/>
            <w:gridSpan w:val="2"/>
          </w:tcPr>
          <w:p>
            <w:pPr>
              <w:ind w:left="80"/>
              <w:spacing w:after="0" w:line="164" w:lineRule="exact"/>
              <w:rPr>
                <w:sz w:val="20"/>
                <w:szCs w:val="20"/>
                <w:color w:val="auto"/>
              </w:rPr>
            </w:pPr>
            <w:r>
              <w:rPr>
                <w:rFonts w:ascii="Arial" w:cs="Arial" w:eastAsia="Arial" w:hAnsi="Arial"/>
                <w:sz w:val="16"/>
                <w:szCs w:val="16"/>
                <w:color w:val="auto"/>
              </w:rPr>
              <w:t>Hunan Shizhuyuan Nonferrous Metals Co., Ltd.</w:t>
            </w:r>
          </w:p>
        </w:tc>
        <w:tc>
          <w:tcPr>
            <w:tcW w:w="3560" w:type="dxa"/>
            <w:vAlign w:val="bottom"/>
            <w:gridSpan w:val="2"/>
          </w:tcPr>
          <w:p>
            <w:pPr>
              <w:jc w:val="center"/>
              <w:ind w:right="100"/>
              <w:spacing w:after="0" w:line="164" w:lineRule="exact"/>
              <w:rPr>
                <w:sz w:val="20"/>
                <w:szCs w:val="20"/>
                <w:color w:val="auto"/>
              </w:rPr>
            </w:pPr>
            <w:r>
              <w:rPr>
                <w:rFonts w:ascii="Arial" w:cs="Arial" w:eastAsia="Arial" w:hAnsi="Arial"/>
                <w:sz w:val="16"/>
                <w:szCs w:val="16"/>
                <w:color w:val="auto"/>
              </w:rPr>
              <w:t>CHINA</w:t>
            </w:r>
          </w:p>
        </w:tc>
        <w:tc>
          <w:tcPr>
            <w:tcW w:w="2240" w:type="dxa"/>
            <w:vAlign w:val="bottom"/>
          </w:tcPr>
          <w:p>
            <w:pPr>
              <w:jc w:val="center"/>
              <w:spacing w:after="0" w:line="164" w:lineRule="exact"/>
              <w:rPr>
                <w:sz w:val="20"/>
                <w:szCs w:val="20"/>
                <w:color w:val="auto"/>
              </w:rPr>
            </w:pPr>
            <w:r>
              <w:rPr>
                <w:rFonts w:ascii="Arial" w:cs="Arial" w:eastAsia="Arial" w:hAnsi="Arial"/>
                <w:sz w:val="16"/>
                <w:szCs w:val="16"/>
                <w:color w:val="auto"/>
              </w:rPr>
              <w:t>Unknown</w:t>
            </w: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Chenzhou Tungsten Products Branch</w:t>
            </w: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Nihon Material Co., Ltd.</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rPr>
              <w:t>JAPAN</w:t>
            </w:r>
          </w:p>
        </w:tc>
        <w:tc>
          <w:tcPr>
            <w:tcW w:w="2240" w:type="dxa"/>
            <w:vAlign w:val="bottom"/>
          </w:tcPr>
          <w:p>
            <w:pPr>
              <w:jc w:val="center"/>
              <w:spacing w:after="0"/>
              <w:rPr>
                <w:sz w:val="20"/>
                <w:szCs w:val="20"/>
                <w:color w:val="auto"/>
              </w:rPr>
            </w:pPr>
            <w:r>
              <w:rPr>
                <w:rFonts w:ascii="Arial" w:cs="Arial" w:eastAsia="Arial" w:hAnsi="Arial"/>
                <w:sz w:val="16"/>
                <w:szCs w:val="16"/>
                <w:color w:val="auto"/>
              </w:rPr>
              <w:t>Recognized</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Tantalum</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Ningxia Non-Ferrous Metal Smeltery</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rPr>
              <w:t>CHINA</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Tantalum</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NPM Silmet AS</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rPr>
              <w:t>ESTONIA</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O.M. Manufacturing (Thailand) Co., Ltd.</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rPr>
              <w:t>THAILAND</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O.M. Manufacturing Philippines, Inc.</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rPr>
              <w:t>PHILIPPINES</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164"/>
        </w:trPr>
        <w:tc>
          <w:tcPr>
            <w:tcW w:w="1220" w:type="dxa"/>
            <w:vAlign w:val="bottom"/>
            <w:gridSpan w:val="2"/>
          </w:tcPr>
          <w:p>
            <w:pPr>
              <w:ind w:left="60"/>
              <w:spacing w:after="0" w:line="164" w:lineRule="exact"/>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line="164" w:lineRule="exact"/>
              <w:rPr>
                <w:sz w:val="20"/>
                <w:szCs w:val="20"/>
                <w:color w:val="auto"/>
              </w:rPr>
            </w:pPr>
            <w:r>
              <w:rPr>
                <w:rFonts w:ascii="Arial" w:cs="Arial" w:eastAsia="Arial" w:hAnsi="Arial"/>
                <w:sz w:val="16"/>
                <w:szCs w:val="16"/>
                <w:color w:val="auto"/>
              </w:rPr>
              <w:t>Ogussa Osterreichische Gold- und Silber-</w:t>
            </w:r>
          </w:p>
        </w:tc>
        <w:tc>
          <w:tcPr>
            <w:tcW w:w="3560" w:type="dxa"/>
            <w:vAlign w:val="bottom"/>
            <w:gridSpan w:val="2"/>
          </w:tcPr>
          <w:p>
            <w:pPr>
              <w:jc w:val="center"/>
              <w:ind w:right="100"/>
              <w:spacing w:after="0" w:line="164" w:lineRule="exact"/>
              <w:rPr>
                <w:sz w:val="20"/>
                <w:szCs w:val="20"/>
                <w:color w:val="auto"/>
              </w:rPr>
            </w:pPr>
            <w:r>
              <w:rPr>
                <w:rFonts w:ascii="Arial" w:cs="Arial" w:eastAsia="Arial" w:hAnsi="Arial"/>
                <w:sz w:val="16"/>
                <w:szCs w:val="16"/>
                <w:color w:val="auto"/>
              </w:rPr>
              <w:t>AUSTRIA</w:t>
            </w:r>
          </w:p>
        </w:tc>
        <w:tc>
          <w:tcPr>
            <w:tcW w:w="2240" w:type="dxa"/>
            <w:vAlign w:val="bottom"/>
          </w:tcPr>
          <w:p>
            <w:pPr>
              <w:jc w:val="center"/>
              <w:spacing w:after="0" w:line="164" w:lineRule="exact"/>
              <w:rPr>
                <w:sz w:val="20"/>
                <w:szCs w:val="20"/>
                <w:color w:val="auto"/>
              </w:rPr>
            </w:pPr>
            <w:r>
              <w:rPr>
                <w:rFonts w:ascii="Arial" w:cs="Arial" w:eastAsia="Arial" w:hAnsi="Arial"/>
                <w:sz w:val="16"/>
                <w:szCs w:val="16"/>
                <w:color w:val="auto"/>
              </w:rPr>
              <w:t>Recognized</w:t>
            </w: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Scheideanstalt GmbH</w:t>
            </w: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Ohura Precious Metal Industry Co., Ltd.</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rPr>
              <w:t>JAPAN</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Tungsten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Philippine Bonway Manufacturing Industrial Corporation</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rPr>
              <w:t>PHILIPPINES</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Tungsten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Philippine Chuangxin Industrial Co., Inc.</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rPr>
              <w:t>PHILIPPINES</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Planta Recuperadora de Metales SpA</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rPr>
              <w:t>CHILE</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Tantalum</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PowerX Ltd.</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rPr>
              <w:t>RWANDA</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PT Aneka Tambang (Persero) Tbk</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INDONESIA</w:t>
            </w:r>
          </w:p>
        </w:tc>
        <w:tc>
          <w:tcPr>
            <w:tcW w:w="2240" w:type="dxa"/>
            <w:vAlign w:val="bottom"/>
          </w:tcPr>
          <w:p>
            <w:pPr>
              <w:jc w:val="center"/>
              <w:spacing w:after="0"/>
              <w:rPr>
                <w:sz w:val="20"/>
                <w:szCs w:val="20"/>
                <w:color w:val="auto"/>
              </w:rPr>
            </w:pPr>
            <w:r>
              <w:rPr>
                <w:rFonts w:ascii="Arial" w:cs="Arial" w:eastAsia="Arial" w:hAnsi="Arial"/>
                <w:sz w:val="16"/>
                <w:szCs w:val="16"/>
                <w:color w:val="auto"/>
              </w:rPr>
              <w:t>Recognized</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PT Arsed Indonesia</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INDONESIA</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PT Artha Cipta Langgeng</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INDONESIA</w:t>
            </w:r>
          </w:p>
        </w:tc>
        <w:tc>
          <w:tcPr>
            <w:tcW w:w="2240" w:type="dxa"/>
            <w:vAlign w:val="bottom"/>
          </w:tcPr>
          <w:p>
            <w:pPr>
              <w:jc w:val="center"/>
              <w:spacing w:after="0"/>
              <w:rPr>
                <w:sz w:val="20"/>
                <w:szCs w:val="20"/>
                <w:color w:val="auto"/>
              </w:rPr>
            </w:pPr>
            <w:r>
              <w:rPr>
                <w:rFonts w:ascii="Arial" w:cs="Arial" w:eastAsia="Arial" w:hAnsi="Arial"/>
                <w:sz w:val="16"/>
                <w:szCs w:val="16"/>
                <w:color w:val="auto"/>
              </w:rPr>
              <w:t>Active</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Nghe Tinh Non-Ferrous Metals Joint Stock Company</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rPr>
              <w:t>VIETNAM</w:t>
            </w:r>
          </w:p>
        </w:tc>
        <w:tc>
          <w:tcPr>
            <w:tcW w:w="2240" w:type="dxa"/>
            <w:vAlign w:val="bottom"/>
          </w:tcPr>
          <w:p>
            <w:pPr>
              <w:jc w:val="center"/>
              <w:spacing w:after="0"/>
              <w:rPr>
                <w:sz w:val="20"/>
                <w:szCs w:val="20"/>
                <w:color w:val="auto"/>
              </w:rPr>
            </w:pPr>
            <w:r>
              <w:rPr>
                <w:rFonts w:ascii="Arial" w:cs="Arial" w:eastAsia="Arial" w:hAnsi="Arial"/>
                <w:sz w:val="16"/>
                <w:szCs w:val="16"/>
                <w:color w:val="auto"/>
              </w:rPr>
              <w:t>Unknown</w:t>
            </w:r>
          </w:p>
        </w:tc>
        <w:tc>
          <w:tcPr>
            <w:tcW w:w="0" w:type="dxa"/>
            <w:vAlign w:val="bottom"/>
          </w:tcPr>
          <w:p>
            <w:pPr>
              <w:spacing w:after="0"/>
              <w:rPr>
                <w:sz w:val="1"/>
                <w:szCs w:val="1"/>
                <w:color w:val="auto"/>
              </w:rPr>
            </w:pPr>
          </w:p>
        </w:tc>
      </w:tr>
      <w:tr>
        <w:trPr>
          <w:trHeight w:val="164"/>
        </w:trPr>
        <w:tc>
          <w:tcPr>
            <w:tcW w:w="1220" w:type="dxa"/>
            <w:vAlign w:val="bottom"/>
            <w:gridSpan w:val="2"/>
          </w:tcPr>
          <w:p>
            <w:pPr>
              <w:ind w:left="60"/>
              <w:spacing w:after="0" w:line="164" w:lineRule="exact"/>
              <w:rPr>
                <w:sz w:val="20"/>
                <w:szCs w:val="20"/>
                <w:color w:val="auto"/>
              </w:rPr>
            </w:pPr>
            <w:r>
              <w:rPr>
                <w:rFonts w:ascii="Arial" w:cs="Arial" w:eastAsia="Arial" w:hAnsi="Arial"/>
                <w:sz w:val="16"/>
                <w:szCs w:val="16"/>
                <w:color w:val="auto"/>
              </w:rPr>
              <w:t>Tin</w:t>
            </w:r>
          </w:p>
        </w:tc>
        <w:tc>
          <w:tcPr>
            <w:tcW w:w="4200" w:type="dxa"/>
            <w:vAlign w:val="bottom"/>
            <w:gridSpan w:val="2"/>
          </w:tcPr>
          <w:p>
            <w:pPr>
              <w:ind w:left="80"/>
              <w:spacing w:after="0" w:line="164" w:lineRule="exact"/>
              <w:rPr>
                <w:sz w:val="20"/>
                <w:szCs w:val="20"/>
                <w:color w:val="auto"/>
              </w:rPr>
            </w:pPr>
            <w:r>
              <w:rPr>
                <w:rFonts w:ascii="Arial" w:cs="Arial" w:eastAsia="Arial" w:hAnsi="Arial"/>
                <w:sz w:val="16"/>
                <w:szCs w:val="16"/>
                <w:color w:val="auto"/>
              </w:rPr>
              <w:t>Tuyen Quang Non-Ferrous Metals Joint Stock</w:t>
            </w:r>
          </w:p>
        </w:tc>
        <w:tc>
          <w:tcPr>
            <w:tcW w:w="3560" w:type="dxa"/>
            <w:vAlign w:val="bottom"/>
            <w:gridSpan w:val="2"/>
          </w:tcPr>
          <w:p>
            <w:pPr>
              <w:jc w:val="center"/>
              <w:ind w:right="120"/>
              <w:spacing w:after="0" w:line="164" w:lineRule="exact"/>
              <w:rPr>
                <w:sz w:val="20"/>
                <w:szCs w:val="20"/>
                <w:color w:val="auto"/>
              </w:rPr>
            </w:pPr>
            <w:r>
              <w:rPr>
                <w:rFonts w:ascii="Arial" w:cs="Arial" w:eastAsia="Arial" w:hAnsi="Arial"/>
                <w:sz w:val="16"/>
                <w:szCs w:val="16"/>
                <w:color w:val="auto"/>
              </w:rPr>
              <w:t>VIETNAM</w:t>
            </w:r>
          </w:p>
        </w:tc>
        <w:tc>
          <w:tcPr>
            <w:tcW w:w="2240" w:type="dxa"/>
            <w:vAlign w:val="bottom"/>
          </w:tcPr>
          <w:p>
            <w:pPr>
              <w:jc w:val="center"/>
              <w:spacing w:after="0" w:line="164" w:lineRule="exact"/>
              <w:rPr>
                <w:sz w:val="20"/>
                <w:szCs w:val="20"/>
                <w:color w:val="auto"/>
              </w:rPr>
            </w:pPr>
            <w:r>
              <w:rPr>
                <w:rFonts w:ascii="Arial" w:cs="Arial" w:eastAsia="Arial" w:hAnsi="Arial"/>
                <w:sz w:val="16"/>
                <w:szCs w:val="16"/>
                <w:color w:val="auto"/>
              </w:rPr>
              <w:t>Unknown</w:t>
            </w: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Company</w:t>
            </w: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PT ATD Makmur Mandiri Jaya</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INDONESIA</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40" w:top="918"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rPr>
              <w:t>RMI Conformance Level</w:t>
            </w:r>
          </w:p>
        </w:tc>
        <w:tc>
          <w:tcPr>
            <w:tcW w:w="0" w:type="dxa"/>
            <w:vAlign w:val="bottom"/>
          </w:tcPr>
          <w:p>
            <w:pPr>
              <w:spacing w:after="0"/>
              <w:rPr>
                <w:sz w:val="1"/>
                <w:szCs w:val="1"/>
                <w:color w:val="auto"/>
              </w:rPr>
            </w:pPr>
          </w:p>
        </w:tc>
      </w:tr>
      <w:tr>
        <w:trPr>
          <w:trHeight w:val="175"/>
        </w:trPr>
        <w:tc>
          <w:tcPr>
            <w:tcW w:w="124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rPr>
              <w:t>Metal</w:t>
            </w:r>
          </w:p>
        </w:tc>
        <w:tc>
          <w:tcPr>
            <w:tcW w:w="4180" w:type="dxa"/>
            <w:vAlign w:val="bottom"/>
            <w:gridSpan w:val="2"/>
            <w:vMerge w:val="restart"/>
          </w:tcPr>
          <w:p>
            <w:pPr>
              <w:ind w:left="1020"/>
              <w:spacing w:after="0"/>
              <w:rPr>
                <w:sz w:val="20"/>
                <w:szCs w:val="20"/>
                <w:color w:val="auto"/>
              </w:rPr>
            </w:pPr>
            <w:r>
              <w:rPr>
                <w:rFonts w:ascii="Arial" w:cs="Arial" w:eastAsia="Arial" w:hAnsi="Arial"/>
                <w:sz w:val="18"/>
                <w:szCs w:val="18"/>
                <w:b w:val="1"/>
                <w:bCs w:val="1"/>
                <w:color w:val="auto"/>
              </w:rPr>
              <w:t>Standard Smelter Name</w:t>
            </w:r>
          </w:p>
        </w:tc>
        <w:tc>
          <w:tcPr>
            <w:tcW w:w="356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9"/>
              </w:rPr>
              <w:t>Smelter Facility Location</w:t>
            </w:r>
          </w:p>
        </w:tc>
        <w:tc>
          <w:tcPr>
            <w:tcW w:w="22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or LMBA/ RJC COP or</w:t>
            </w:r>
          </w:p>
        </w:tc>
        <w:tc>
          <w:tcPr>
            <w:tcW w:w="0" w:type="dxa"/>
            <w:vAlign w:val="bottom"/>
          </w:tcPr>
          <w:p>
            <w:pPr>
              <w:spacing w:after="0"/>
              <w:rPr>
                <w:sz w:val="1"/>
                <w:szCs w:val="1"/>
                <w:color w:val="auto"/>
              </w:rPr>
            </w:pPr>
          </w:p>
        </w:tc>
      </w:tr>
      <w:tr>
        <w:trPr>
          <w:trHeight w:val="243"/>
        </w:trPr>
        <w:tc>
          <w:tcPr>
            <w:tcW w:w="1240" w:type="dxa"/>
            <w:vAlign w:val="bottom"/>
            <w:gridSpan w:val="2"/>
            <w:vMerge w:val="continue"/>
          </w:tcPr>
          <w:p>
            <w:pPr>
              <w:spacing w:after="0"/>
              <w:rPr>
                <w:sz w:val="21"/>
                <w:szCs w:val="21"/>
                <w:color w:val="auto"/>
              </w:rPr>
            </w:pPr>
          </w:p>
        </w:tc>
        <w:tc>
          <w:tcPr>
            <w:tcW w:w="4180" w:type="dxa"/>
            <w:vAlign w:val="bottom"/>
            <w:gridSpan w:val="2"/>
            <w:vMerge w:val="continue"/>
          </w:tcPr>
          <w:p>
            <w:pPr>
              <w:spacing w:after="0"/>
              <w:rPr>
                <w:sz w:val="21"/>
                <w:szCs w:val="21"/>
                <w:color w:val="auto"/>
              </w:rPr>
            </w:pPr>
          </w:p>
        </w:tc>
        <w:tc>
          <w:tcPr>
            <w:tcW w:w="3560" w:type="dxa"/>
            <w:vAlign w:val="bottom"/>
            <w:gridSpan w:val="2"/>
            <w:vMerge w:val="continue"/>
          </w:tcPr>
          <w:p>
            <w:pPr>
              <w:spacing w:after="0"/>
              <w:rPr>
                <w:sz w:val="21"/>
                <w:szCs w:val="21"/>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9"/>
              </w:rPr>
              <w:t>CoC “recognized”</w:t>
            </w:r>
          </w:p>
        </w:tc>
        <w:tc>
          <w:tcPr>
            <w:tcW w:w="0" w:type="dxa"/>
            <w:vAlign w:val="bottom"/>
          </w:tcPr>
          <w:p>
            <w:pPr>
              <w:spacing w:after="0"/>
              <w:rPr>
                <w:sz w:val="1"/>
                <w:szCs w:val="1"/>
                <w:color w:val="auto"/>
              </w:rPr>
            </w:pPr>
          </w:p>
        </w:tc>
      </w:tr>
      <w:tr>
        <w:trPr>
          <w:trHeight w:val="208"/>
        </w:trPr>
        <w:tc>
          <w:tcPr>
            <w:tcW w:w="112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rPr>
              <w:t>Tin</w:t>
            </w:r>
          </w:p>
        </w:tc>
        <w:tc>
          <w:tcPr>
            <w:tcW w:w="120" w:type="dxa"/>
            <w:vAlign w:val="bottom"/>
          </w:tcPr>
          <w:p>
            <w:pPr>
              <w:spacing w:after="0"/>
              <w:rPr>
                <w:sz w:val="18"/>
                <w:szCs w:val="18"/>
                <w:color w:val="auto"/>
              </w:rPr>
            </w:pPr>
          </w:p>
        </w:tc>
        <w:tc>
          <w:tcPr>
            <w:tcW w:w="408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rPr>
              <w:t>PT Bangka Prima Tin</w:t>
            </w:r>
          </w:p>
        </w:tc>
        <w:tc>
          <w:tcPr>
            <w:tcW w:w="100" w:type="dxa"/>
            <w:vAlign w:val="bottom"/>
          </w:tcPr>
          <w:p>
            <w:pPr>
              <w:spacing w:after="0"/>
              <w:rPr>
                <w:sz w:val="18"/>
                <w:szCs w:val="18"/>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INDONESIA</w:t>
            </w:r>
          </w:p>
        </w:tc>
        <w:tc>
          <w:tcPr>
            <w:tcW w:w="100" w:type="dxa"/>
            <w:vAlign w:val="bottom"/>
          </w:tcPr>
          <w:p>
            <w:pPr>
              <w:spacing w:after="0"/>
              <w:rPr>
                <w:sz w:val="18"/>
                <w:szCs w:val="18"/>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5"/>
        </w:trPr>
        <w:tc>
          <w:tcPr>
            <w:tcW w:w="124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180" w:type="dxa"/>
            <w:vAlign w:val="bottom"/>
            <w:gridSpan w:val="2"/>
          </w:tcPr>
          <w:p>
            <w:pPr>
              <w:ind w:left="60"/>
              <w:spacing w:after="0"/>
              <w:rPr>
                <w:sz w:val="20"/>
                <w:szCs w:val="20"/>
                <w:color w:val="auto"/>
              </w:rPr>
            </w:pPr>
            <w:r>
              <w:rPr>
                <w:rFonts w:ascii="Arial" w:cs="Arial" w:eastAsia="Arial" w:hAnsi="Arial"/>
                <w:sz w:val="16"/>
                <w:szCs w:val="16"/>
                <w:color w:val="auto"/>
              </w:rPr>
              <w:t>PT Cipta Persada Mulia</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INDONESIA</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4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180" w:type="dxa"/>
            <w:vAlign w:val="bottom"/>
            <w:gridSpan w:val="2"/>
          </w:tcPr>
          <w:p>
            <w:pPr>
              <w:ind w:left="60"/>
              <w:spacing w:after="0"/>
              <w:rPr>
                <w:sz w:val="20"/>
                <w:szCs w:val="20"/>
                <w:color w:val="auto"/>
              </w:rPr>
            </w:pPr>
            <w:r>
              <w:rPr>
                <w:rFonts w:ascii="Arial" w:cs="Arial" w:eastAsia="Arial" w:hAnsi="Arial"/>
                <w:sz w:val="16"/>
                <w:szCs w:val="16"/>
                <w:color w:val="auto"/>
              </w:rPr>
              <w:t>PT Mitra Stania Prima</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INDONESIA</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4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180" w:type="dxa"/>
            <w:vAlign w:val="bottom"/>
            <w:gridSpan w:val="2"/>
          </w:tcPr>
          <w:p>
            <w:pPr>
              <w:ind w:left="60"/>
              <w:spacing w:after="0"/>
              <w:rPr>
                <w:sz w:val="20"/>
                <w:szCs w:val="20"/>
                <w:color w:val="auto"/>
              </w:rPr>
            </w:pPr>
            <w:r>
              <w:rPr>
                <w:rFonts w:ascii="Arial" w:cs="Arial" w:eastAsia="Arial" w:hAnsi="Arial"/>
                <w:sz w:val="16"/>
                <w:szCs w:val="16"/>
                <w:color w:val="auto"/>
              </w:rPr>
              <w:t>PT Mitra Sukses Globalindo</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INDONESIA</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4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180" w:type="dxa"/>
            <w:vAlign w:val="bottom"/>
            <w:gridSpan w:val="2"/>
          </w:tcPr>
          <w:p>
            <w:pPr>
              <w:ind w:left="60"/>
              <w:spacing w:after="0"/>
              <w:rPr>
                <w:sz w:val="20"/>
                <w:szCs w:val="20"/>
                <w:color w:val="auto"/>
              </w:rPr>
            </w:pPr>
            <w:r>
              <w:rPr>
                <w:rFonts w:ascii="Arial" w:cs="Arial" w:eastAsia="Arial" w:hAnsi="Arial"/>
                <w:sz w:val="16"/>
                <w:szCs w:val="16"/>
                <w:color w:val="auto"/>
              </w:rPr>
              <w:t>PT Premium Tin Indonesia</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INDONESIA</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4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180" w:type="dxa"/>
            <w:vAlign w:val="bottom"/>
            <w:gridSpan w:val="2"/>
          </w:tcPr>
          <w:p>
            <w:pPr>
              <w:ind w:left="60"/>
              <w:spacing w:after="0"/>
              <w:rPr>
                <w:sz w:val="20"/>
                <w:szCs w:val="20"/>
                <w:color w:val="auto"/>
              </w:rPr>
            </w:pPr>
            <w:r>
              <w:rPr>
                <w:rFonts w:ascii="Arial" w:cs="Arial" w:eastAsia="Arial" w:hAnsi="Arial"/>
                <w:sz w:val="16"/>
                <w:szCs w:val="16"/>
                <w:color w:val="auto"/>
              </w:rPr>
              <w:t>PT Prima Timah Utama</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INDONESIA</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4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180" w:type="dxa"/>
            <w:vAlign w:val="bottom"/>
            <w:gridSpan w:val="2"/>
          </w:tcPr>
          <w:p>
            <w:pPr>
              <w:ind w:left="60"/>
              <w:spacing w:after="0"/>
              <w:rPr>
                <w:sz w:val="20"/>
                <w:szCs w:val="20"/>
                <w:color w:val="auto"/>
              </w:rPr>
            </w:pPr>
            <w:r>
              <w:rPr>
                <w:rFonts w:ascii="Arial" w:cs="Arial" w:eastAsia="Arial" w:hAnsi="Arial"/>
                <w:sz w:val="16"/>
                <w:szCs w:val="16"/>
                <w:color w:val="auto"/>
              </w:rPr>
              <w:t>PT Putera Sarana Shakti (PT PSS)</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INDONESIA</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4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180" w:type="dxa"/>
            <w:vAlign w:val="bottom"/>
            <w:gridSpan w:val="2"/>
          </w:tcPr>
          <w:p>
            <w:pPr>
              <w:ind w:left="60"/>
              <w:spacing w:after="0"/>
              <w:rPr>
                <w:sz w:val="20"/>
                <w:szCs w:val="20"/>
                <w:color w:val="auto"/>
              </w:rPr>
            </w:pPr>
            <w:r>
              <w:rPr>
                <w:rFonts w:ascii="Arial" w:cs="Arial" w:eastAsia="Arial" w:hAnsi="Arial"/>
                <w:sz w:val="16"/>
                <w:szCs w:val="16"/>
                <w:color w:val="auto"/>
              </w:rPr>
              <w:t>An Vinh Joint Stock Mineral Processing Company</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rPr>
              <w:t>VIETNAM</w:t>
            </w:r>
          </w:p>
        </w:tc>
        <w:tc>
          <w:tcPr>
            <w:tcW w:w="2240" w:type="dxa"/>
            <w:vAlign w:val="bottom"/>
          </w:tcPr>
          <w:p>
            <w:pPr>
              <w:jc w:val="center"/>
              <w:spacing w:after="0"/>
              <w:rPr>
                <w:sz w:val="20"/>
                <w:szCs w:val="20"/>
                <w:color w:val="auto"/>
              </w:rPr>
            </w:pPr>
            <w:r>
              <w:rPr>
                <w:rFonts w:ascii="Arial" w:cs="Arial" w:eastAsia="Arial" w:hAnsi="Arial"/>
                <w:sz w:val="16"/>
                <w:szCs w:val="16"/>
                <w:color w:val="auto"/>
              </w:rPr>
              <w:t>Unknown</w:t>
            </w:r>
          </w:p>
        </w:tc>
        <w:tc>
          <w:tcPr>
            <w:tcW w:w="0" w:type="dxa"/>
            <w:vAlign w:val="bottom"/>
          </w:tcPr>
          <w:p>
            <w:pPr>
              <w:spacing w:after="0"/>
              <w:rPr>
                <w:sz w:val="1"/>
                <w:szCs w:val="1"/>
                <w:color w:val="auto"/>
              </w:rPr>
            </w:pPr>
          </w:p>
        </w:tc>
      </w:tr>
      <w:tr>
        <w:trPr>
          <w:trHeight w:val="216"/>
        </w:trPr>
        <w:tc>
          <w:tcPr>
            <w:tcW w:w="124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180" w:type="dxa"/>
            <w:vAlign w:val="bottom"/>
            <w:gridSpan w:val="2"/>
          </w:tcPr>
          <w:p>
            <w:pPr>
              <w:ind w:left="60"/>
              <w:spacing w:after="0"/>
              <w:rPr>
                <w:sz w:val="20"/>
                <w:szCs w:val="20"/>
                <w:color w:val="auto"/>
              </w:rPr>
            </w:pPr>
            <w:r>
              <w:rPr>
                <w:rFonts w:ascii="Arial" w:cs="Arial" w:eastAsia="Arial" w:hAnsi="Arial"/>
                <w:sz w:val="16"/>
                <w:szCs w:val="16"/>
                <w:color w:val="auto"/>
              </w:rPr>
              <w:t>PT Rajehan Ariq</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INDONESIA</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4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180" w:type="dxa"/>
            <w:vAlign w:val="bottom"/>
            <w:gridSpan w:val="2"/>
          </w:tcPr>
          <w:p>
            <w:pPr>
              <w:ind w:left="60"/>
              <w:spacing w:after="0"/>
              <w:rPr>
                <w:sz w:val="20"/>
                <w:szCs w:val="20"/>
                <w:color w:val="auto"/>
              </w:rPr>
            </w:pPr>
            <w:r>
              <w:rPr>
                <w:rFonts w:ascii="Arial" w:cs="Arial" w:eastAsia="Arial" w:hAnsi="Arial"/>
                <w:sz w:val="16"/>
                <w:szCs w:val="16"/>
                <w:color w:val="auto"/>
              </w:rPr>
              <w:t>PT Timah Tbk Kundur</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INDONESIA</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4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180" w:type="dxa"/>
            <w:vAlign w:val="bottom"/>
            <w:gridSpan w:val="2"/>
          </w:tcPr>
          <w:p>
            <w:pPr>
              <w:ind w:left="60"/>
              <w:spacing w:after="0"/>
              <w:rPr>
                <w:sz w:val="20"/>
                <w:szCs w:val="20"/>
                <w:color w:val="auto"/>
              </w:rPr>
            </w:pPr>
            <w:r>
              <w:rPr>
                <w:rFonts w:ascii="Arial" w:cs="Arial" w:eastAsia="Arial" w:hAnsi="Arial"/>
                <w:sz w:val="16"/>
                <w:szCs w:val="16"/>
                <w:color w:val="auto"/>
              </w:rPr>
              <w:t>PT Timah Tbk Mentok</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INDONESIA</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4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180" w:type="dxa"/>
            <w:vAlign w:val="bottom"/>
            <w:gridSpan w:val="2"/>
          </w:tcPr>
          <w:p>
            <w:pPr>
              <w:ind w:left="60"/>
              <w:spacing w:after="0"/>
              <w:rPr>
                <w:sz w:val="20"/>
                <w:szCs w:val="20"/>
                <w:color w:val="auto"/>
              </w:rPr>
            </w:pPr>
            <w:r>
              <w:rPr>
                <w:rFonts w:ascii="Arial" w:cs="Arial" w:eastAsia="Arial" w:hAnsi="Arial"/>
                <w:sz w:val="16"/>
                <w:szCs w:val="16"/>
                <w:color w:val="auto"/>
              </w:rPr>
              <w:t>PX Precinox S.A.</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rPr>
              <w:t>SWITZERLAND</w:t>
            </w:r>
          </w:p>
        </w:tc>
        <w:tc>
          <w:tcPr>
            <w:tcW w:w="2240" w:type="dxa"/>
            <w:vAlign w:val="bottom"/>
          </w:tcPr>
          <w:p>
            <w:pPr>
              <w:jc w:val="center"/>
              <w:spacing w:after="0"/>
              <w:rPr>
                <w:sz w:val="20"/>
                <w:szCs w:val="20"/>
                <w:color w:val="auto"/>
              </w:rPr>
            </w:pPr>
            <w:r>
              <w:rPr>
                <w:rFonts w:ascii="Arial" w:cs="Arial" w:eastAsia="Arial" w:hAnsi="Arial"/>
                <w:sz w:val="16"/>
                <w:szCs w:val="16"/>
                <w:color w:val="auto"/>
              </w:rPr>
              <w:t>Recognized</w:t>
            </w:r>
          </w:p>
        </w:tc>
        <w:tc>
          <w:tcPr>
            <w:tcW w:w="0" w:type="dxa"/>
            <w:vAlign w:val="bottom"/>
          </w:tcPr>
          <w:p>
            <w:pPr>
              <w:spacing w:after="0"/>
              <w:rPr>
                <w:sz w:val="1"/>
                <w:szCs w:val="1"/>
                <w:color w:val="auto"/>
              </w:rPr>
            </w:pPr>
          </w:p>
        </w:tc>
      </w:tr>
      <w:tr>
        <w:trPr>
          <w:trHeight w:val="216"/>
        </w:trPr>
        <w:tc>
          <w:tcPr>
            <w:tcW w:w="124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180" w:type="dxa"/>
            <w:vAlign w:val="bottom"/>
            <w:gridSpan w:val="2"/>
          </w:tcPr>
          <w:p>
            <w:pPr>
              <w:ind w:left="60"/>
              <w:spacing w:after="0"/>
              <w:rPr>
                <w:sz w:val="20"/>
                <w:szCs w:val="20"/>
                <w:color w:val="auto"/>
              </w:rPr>
            </w:pPr>
            <w:r>
              <w:rPr>
                <w:rFonts w:ascii="Arial" w:cs="Arial" w:eastAsia="Arial" w:hAnsi="Arial"/>
                <w:sz w:val="16"/>
                <w:szCs w:val="16"/>
                <w:color w:val="auto"/>
              </w:rPr>
              <w:t>L'Orfebre S.A.</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ANDORRA</w:t>
            </w:r>
          </w:p>
        </w:tc>
        <w:tc>
          <w:tcPr>
            <w:tcW w:w="2240" w:type="dxa"/>
            <w:vAlign w:val="bottom"/>
          </w:tcPr>
          <w:p>
            <w:pPr>
              <w:jc w:val="center"/>
              <w:spacing w:after="0"/>
              <w:rPr>
                <w:sz w:val="20"/>
                <w:szCs w:val="20"/>
                <w:color w:val="auto"/>
              </w:rPr>
            </w:pPr>
            <w:r>
              <w:rPr>
                <w:rFonts w:ascii="Arial" w:cs="Arial" w:eastAsia="Arial" w:hAnsi="Arial"/>
                <w:sz w:val="16"/>
                <w:szCs w:val="16"/>
                <w:color w:val="auto"/>
              </w:rPr>
              <w:t>Unknown</w:t>
            </w:r>
          </w:p>
        </w:tc>
        <w:tc>
          <w:tcPr>
            <w:tcW w:w="0" w:type="dxa"/>
            <w:vAlign w:val="bottom"/>
          </w:tcPr>
          <w:p>
            <w:pPr>
              <w:spacing w:after="0"/>
              <w:rPr>
                <w:sz w:val="1"/>
                <w:szCs w:val="1"/>
                <w:color w:val="auto"/>
              </w:rPr>
            </w:pPr>
          </w:p>
        </w:tc>
      </w:tr>
      <w:tr>
        <w:trPr>
          <w:trHeight w:val="216"/>
        </w:trPr>
        <w:tc>
          <w:tcPr>
            <w:tcW w:w="124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180" w:type="dxa"/>
            <w:vAlign w:val="bottom"/>
            <w:gridSpan w:val="2"/>
          </w:tcPr>
          <w:p>
            <w:pPr>
              <w:ind w:left="60"/>
              <w:spacing w:after="0"/>
              <w:rPr>
                <w:sz w:val="20"/>
                <w:szCs w:val="20"/>
                <w:color w:val="auto"/>
              </w:rPr>
            </w:pPr>
            <w:r>
              <w:rPr>
                <w:rFonts w:ascii="Arial" w:cs="Arial" w:eastAsia="Arial" w:hAnsi="Arial"/>
                <w:sz w:val="16"/>
                <w:szCs w:val="16"/>
                <w:color w:val="auto"/>
              </w:rPr>
              <w:t>Rand Refinery (Pty) Ltd.</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rPr>
              <w:t>SOUTH AFRICA</w:t>
            </w:r>
          </w:p>
        </w:tc>
        <w:tc>
          <w:tcPr>
            <w:tcW w:w="2240" w:type="dxa"/>
            <w:vAlign w:val="bottom"/>
          </w:tcPr>
          <w:p>
            <w:pPr>
              <w:jc w:val="center"/>
              <w:spacing w:after="0"/>
              <w:rPr>
                <w:sz w:val="20"/>
                <w:szCs w:val="20"/>
                <w:color w:val="auto"/>
              </w:rPr>
            </w:pPr>
            <w:r>
              <w:rPr>
                <w:rFonts w:ascii="Arial" w:cs="Arial" w:eastAsia="Arial" w:hAnsi="Arial"/>
                <w:sz w:val="16"/>
                <w:szCs w:val="16"/>
                <w:color w:val="auto"/>
              </w:rPr>
              <w:t>Recognized</w:t>
            </w:r>
          </w:p>
        </w:tc>
        <w:tc>
          <w:tcPr>
            <w:tcW w:w="0" w:type="dxa"/>
            <w:vAlign w:val="bottom"/>
          </w:tcPr>
          <w:p>
            <w:pPr>
              <w:spacing w:after="0"/>
              <w:rPr>
                <w:sz w:val="1"/>
                <w:szCs w:val="1"/>
                <w:color w:val="auto"/>
              </w:rPr>
            </w:pPr>
          </w:p>
        </w:tc>
      </w:tr>
      <w:tr>
        <w:trPr>
          <w:trHeight w:val="216"/>
        </w:trPr>
        <w:tc>
          <w:tcPr>
            <w:tcW w:w="124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180" w:type="dxa"/>
            <w:vAlign w:val="bottom"/>
            <w:gridSpan w:val="2"/>
          </w:tcPr>
          <w:p>
            <w:pPr>
              <w:ind w:left="60"/>
              <w:spacing w:after="0"/>
              <w:rPr>
                <w:sz w:val="20"/>
                <w:szCs w:val="20"/>
                <w:color w:val="auto"/>
              </w:rPr>
            </w:pPr>
            <w:r>
              <w:rPr>
                <w:rFonts w:ascii="Arial" w:cs="Arial" w:eastAsia="Arial" w:hAnsi="Arial"/>
                <w:sz w:val="16"/>
                <w:szCs w:val="16"/>
                <w:color w:val="auto"/>
              </w:rPr>
              <w:t>Remondis Argentia B.V.</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rPr>
              <w:t>NETHERLANDS</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4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180" w:type="dxa"/>
            <w:vAlign w:val="bottom"/>
            <w:gridSpan w:val="2"/>
          </w:tcPr>
          <w:p>
            <w:pPr>
              <w:ind w:left="60"/>
              <w:spacing w:after="0"/>
              <w:rPr>
                <w:sz w:val="20"/>
                <w:szCs w:val="20"/>
                <w:color w:val="auto"/>
              </w:rPr>
            </w:pPr>
            <w:r>
              <w:rPr>
                <w:rFonts w:ascii="Arial" w:cs="Arial" w:eastAsia="Arial" w:hAnsi="Arial"/>
                <w:sz w:val="16"/>
                <w:szCs w:val="16"/>
                <w:color w:val="auto"/>
              </w:rPr>
              <w:t>Resind Ind e Com Ltda.</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BRAZIL</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40" w:type="dxa"/>
            <w:vAlign w:val="bottom"/>
            <w:gridSpan w:val="2"/>
          </w:tcPr>
          <w:p>
            <w:pPr>
              <w:ind w:left="60"/>
              <w:spacing w:after="0"/>
              <w:rPr>
                <w:sz w:val="20"/>
                <w:szCs w:val="20"/>
                <w:color w:val="auto"/>
              </w:rPr>
            </w:pPr>
            <w:r>
              <w:rPr>
                <w:rFonts w:ascii="Arial" w:cs="Arial" w:eastAsia="Arial" w:hAnsi="Arial"/>
                <w:sz w:val="16"/>
                <w:szCs w:val="16"/>
                <w:color w:val="auto"/>
              </w:rPr>
              <w:t>Tantalum</w:t>
            </w:r>
          </w:p>
        </w:tc>
        <w:tc>
          <w:tcPr>
            <w:tcW w:w="4180" w:type="dxa"/>
            <w:vAlign w:val="bottom"/>
            <w:gridSpan w:val="2"/>
          </w:tcPr>
          <w:p>
            <w:pPr>
              <w:ind w:left="60"/>
              <w:spacing w:after="0"/>
              <w:rPr>
                <w:sz w:val="20"/>
                <w:szCs w:val="20"/>
                <w:color w:val="auto"/>
              </w:rPr>
            </w:pPr>
            <w:r>
              <w:rPr>
                <w:rFonts w:ascii="Arial" w:cs="Arial" w:eastAsia="Arial" w:hAnsi="Arial"/>
                <w:sz w:val="16"/>
                <w:szCs w:val="16"/>
                <w:color w:val="auto"/>
              </w:rPr>
              <w:t>Resind Ind e Com Ltda.</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BRAZIL</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40" w:type="dxa"/>
            <w:vAlign w:val="bottom"/>
            <w:gridSpan w:val="2"/>
          </w:tcPr>
          <w:p>
            <w:pPr>
              <w:ind w:left="60"/>
              <w:spacing w:after="0"/>
              <w:rPr>
                <w:sz w:val="20"/>
                <w:szCs w:val="20"/>
                <w:color w:val="auto"/>
              </w:rPr>
            </w:pPr>
            <w:r>
              <w:rPr>
                <w:rFonts w:ascii="Arial" w:cs="Arial" w:eastAsia="Arial" w:hAnsi="Arial"/>
                <w:sz w:val="16"/>
                <w:szCs w:val="16"/>
                <w:color w:val="auto"/>
              </w:rPr>
              <w:t>Tantalum</w:t>
            </w:r>
          </w:p>
        </w:tc>
        <w:tc>
          <w:tcPr>
            <w:tcW w:w="4180" w:type="dxa"/>
            <w:vAlign w:val="bottom"/>
            <w:gridSpan w:val="2"/>
          </w:tcPr>
          <w:p>
            <w:pPr>
              <w:ind w:left="60"/>
              <w:spacing w:after="0"/>
              <w:rPr>
                <w:sz w:val="20"/>
                <w:szCs w:val="20"/>
                <w:color w:val="auto"/>
              </w:rPr>
            </w:pPr>
            <w:r>
              <w:rPr>
                <w:rFonts w:ascii="Arial" w:cs="Arial" w:eastAsia="Arial" w:hAnsi="Arial"/>
                <w:sz w:val="16"/>
                <w:szCs w:val="16"/>
                <w:color w:val="auto"/>
              </w:rPr>
              <w:t>RFH</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rPr>
              <w:t>CHINA</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164"/>
        </w:trPr>
        <w:tc>
          <w:tcPr>
            <w:tcW w:w="1240" w:type="dxa"/>
            <w:vAlign w:val="bottom"/>
            <w:gridSpan w:val="2"/>
          </w:tcPr>
          <w:p>
            <w:pPr>
              <w:ind w:left="60"/>
              <w:spacing w:after="0" w:line="164" w:lineRule="exact"/>
              <w:rPr>
                <w:sz w:val="20"/>
                <w:szCs w:val="20"/>
                <w:color w:val="auto"/>
              </w:rPr>
            </w:pPr>
            <w:r>
              <w:rPr>
                <w:rFonts w:ascii="Arial" w:cs="Arial" w:eastAsia="Arial" w:hAnsi="Arial"/>
                <w:sz w:val="16"/>
                <w:szCs w:val="16"/>
                <w:color w:val="auto"/>
              </w:rPr>
              <w:t>Tantalum</w:t>
            </w:r>
          </w:p>
        </w:tc>
        <w:tc>
          <w:tcPr>
            <w:tcW w:w="4180" w:type="dxa"/>
            <w:vAlign w:val="bottom"/>
            <w:gridSpan w:val="2"/>
          </w:tcPr>
          <w:p>
            <w:pPr>
              <w:ind w:left="60"/>
              <w:spacing w:after="0" w:line="164" w:lineRule="exact"/>
              <w:rPr>
                <w:sz w:val="20"/>
                <w:szCs w:val="20"/>
                <w:color w:val="auto"/>
              </w:rPr>
            </w:pPr>
            <w:r>
              <w:rPr>
                <w:rFonts w:ascii="Arial" w:cs="Arial" w:eastAsia="Arial" w:hAnsi="Arial"/>
                <w:sz w:val="16"/>
                <w:szCs w:val="16"/>
                <w:color w:val="auto"/>
              </w:rPr>
              <w:t>RFH Yancheng Jinye New Material Technology Co.,</w:t>
            </w:r>
          </w:p>
        </w:tc>
        <w:tc>
          <w:tcPr>
            <w:tcW w:w="3560" w:type="dxa"/>
            <w:vAlign w:val="bottom"/>
            <w:gridSpan w:val="2"/>
          </w:tcPr>
          <w:p>
            <w:pPr>
              <w:jc w:val="center"/>
              <w:ind w:right="100"/>
              <w:spacing w:after="0" w:line="164" w:lineRule="exact"/>
              <w:rPr>
                <w:sz w:val="20"/>
                <w:szCs w:val="20"/>
                <w:color w:val="auto"/>
              </w:rPr>
            </w:pPr>
            <w:r>
              <w:rPr>
                <w:rFonts w:ascii="Arial" w:cs="Arial" w:eastAsia="Arial" w:hAnsi="Arial"/>
                <w:sz w:val="16"/>
                <w:szCs w:val="16"/>
                <w:color w:val="auto"/>
              </w:rPr>
              <w:t>CHINA</w:t>
            </w:r>
          </w:p>
        </w:tc>
        <w:tc>
          <w:tcPr>
            <w:tcW w:w="2240" w:type="dxa"/>
            <w:vAlign w:val="bottom"/>
          </w:tcPr>
          <w:p>
            <w:pPr>
              <w:jc w:val="center"/>
              <w:spacing w:after="0" w:line="164" w:lineRule="exact"/>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80" w:type="dxa"/>
            <w:vAlign w:val="bottom"/>
            <w:gridSpan w:val="2"/>
          </w:tcPr>
          <w:p>
            <w:pPr>
              <w:ind w:left="60"/>
              <w:spacing w:after="0"/>
              <w:rPr>
                <w:sz w:val="20"/>
                <w:szCs w:val="20"/>
                <w:color w:val="auto"/>
              </w:rPr>
            </w:pPr>
            <w:r>
              <w:rPr>
                <w:rFonts w:ascii="Arial" w:cs="Arial" w:eastAsia="Arial" w:hAnsi="Arial"/>
                <w:sz w:val="16"/>
                <w:szCs w:val="16"/>
                <w:color w:val="auto"/>
              </w:rPr>
              <w:t>Ltd.</w:t>
            </w: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4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180" w:type="dxa"/>
            <w:vAlign w:val="bottom"/>
            <w:gridSpan w:val="2"/>
          </w:tcPr>
          <w:p>
            <w:pPr>
              <w:ind w:left="60"/>
              <w:spacing w:after="0"/>
              <w:rPr>
                <w:sz w:val="20"/>
                <w:szCs w:val="20"/>
                <w:color w:val="auto"/>
              </w:rPr>
            </w:pPr>
            <w:r>
              <w:rPr>
                <w:rFonts w:ascii="Arial" w:cs="Arial" w:eastAsia="Arial" w:hAnsi="Arial"/>
                <w:sz w:val="16"/>
                <w:szCs w:val="16"/>
                <w:color w:val="auto"/>
              </w:rPr>
              <w:t>PT Sukses Inti Makmur (SIM)</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INDONESIA</w:t>
            </w:r>
          </w:p>
        </w:tc>
        <w:tc>
          <w:tcPr>
            <w:tcW w:w="2240" w:type="dxa"/>
            <w:vAlign w:val="bottom"/>
          </w:tcPr>
          <w:p>
            <w:pPr>
              <w:jc w:val="center"/>
              <w:spacing w:after="0"/>
              <w:rPr>
                <w:sz w:val="20"/>
                <w:szCs w:val="20"/>
                <w:color w:val="auto"/>
              </w:rPr>
            </w:pPr>
            <w:r>
              <w:rPr>
                <w:rFonts w:ascii="Arial" w:cs="Arial" w:eastAsia="Arial" w:hAnsi="Arial"/>
                <w:sz w:val="16"/>
                <w:szCs w:val="16"/>
                <w:color w:val="auto"/>
              </w:rPr>
              <w:t>Unknown</w:t>
            </w:r>
          </w:p>
        </w:tc>
        <w:tc>
          <w:tcPr>
            <w:tcW w:w="0" w:type="dxa"/>
            <w:vAlign w:val="bottom"/>
          </w:tcPr>
          <w:p>
            <w:pPr>
              <w:spacing w:after="0"/>
              <w:rPr>
                <w:sz w:val="1"/>
                <w:szCs w:val="1"/>
                <w:color w:val="auto"/>
              </w:rPr>
            </w:pPr>
          </w:p>
        </w:tc>
      </w:tr>
      <w:tr>
        <w:trPr>
          <w:trHeight w:val="216"/>
        </w:trPr>
        <w:tc>
          <w:tcPr>
            <w:tcW w:w="124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180" w:type="dxa"/>
            <w:vAlign w:val="bottom"/>
            <w:gridSpan w:val="2"/>
          </w:tcPr>
          <w:p>
            <w:pPr>
              <w:ind w:left="60"/>
              <w:spacing w:after="0"/>
              <w:rPr>
                <w:sz w:val="20"/>
                <w:szCs w:val="20"/>
                <w:color w:val="auto"/>
              </w:rPr>
            </w:pPr>
            <w:r>
              <w:rPr>
                <w:rFonts w:ascii="Arial" w:cs="Arial" w:eastAsia="Arial" w:hAnsi="Arial"/>
                <w:sz w:val="16"/>
                <w:szCs w:val="16"/>
                <w:color w:val="auto"/>
              </w:rPr>
              <w:t>Royal Canadian Mint</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rPr>
              <w:t>CANADA</w:t>
            </w:r>
          </w:p>
        </w:tc>
        <w:tc>
          <w:tcPr>
            <w:tcW w:w="2240" w:type="dxa"/>
            <w:vAlign w:val="bottom"/>
          </w:tcPr>
          <w:p>
            <w:pPr>
              <w:jc w:val="center"/>
              <w:spacing w:after="0"/>
              <w:rPr>
                <w:sz w:val="20"/>
                <w:szCs w:val="20"/>
                <w:color w:val="auto"/>
              </w:rPr>
            </w:pPr>
            <w:r>
              <w:rPr>
                <w:rFonts w:ascii="Arial" w:cs="Arial" w:eastAsia="Arial" w:hAnsi="Arial"/>
                <w:sz w:val="16"/>
                <w:szCs w:val="16"/>
                <w:color w:val="auto"/>
              </w:rPr>
              <w:t>Recognized</w:t>
            </w:r>
          </w:p>
        </w:tc>
        <w:tc>
          <w:tcPr>
            <w:tcW w:w="0" w:type="dxa"/>
            <w:vAlign w:val="bottom"/>
          </w:tcPr>
          <w:p>
            <w:pPr>
              <w:spacing w:after="0"/>
              <w:rPr>
                <w:sz w:val="1"/>
                <w:szCs w:val="1"/>
                <w:color w:val="auto"/>
              </w:rPr>
            </w:pPr>
          </w:p>
        </w:tc>
      </w:tr>
      <w:tr>
        <w:trPr>
          <w:trHeight w:val="216"/>
        </w:trPr>
        <w:tc>
          <w:tcPr>
            <w:tcW w:w="124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180" w:type="dxa"/>
            <w:vAlign w:val="bottom"/>
            <w:gridSpan w:val="2"/>
          </w:tcPr>
          <w:p>
            <w:pPr>
              <w:ind w:left="60"/>
              <w:spacing w:after="0"/>
              <w:rPr>
                <w:sz w:val="20"/>
                <w:szCs w:val="20"/>
                <w:color w:val="auto"/>
              </w:rPr>
            </w:pPr>
            <w:r>
              <w:rPr>
                <w:rFonts w:ascii="Arial" w:cs="Arial" w:eastAsia="Arial" w:hAnsi="Arial"/>
                <w:sz w:val="16"/>
                <w:szCs w:val="16"/>
                <w:color w:val="auto"/>
              </w:rPr>
              <w:t>PT Menara Cipta Mulia</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INDONESIA</w:t>
            </w:r>
          </w:p>
        </w:tc>
        <w:tc>
          <w:tcPr>
            <w:tcW w:w="2240" w:type="dxa"/>
            <w:vAlign w:val="bottom"/>
          </w:tcPr>
          <w:p>
            <w:pPr>
              <w:jc w:val="center"/>
              <w:spacing w:after="0"/>
              <w:rPr>
                <w:sz w:val="20"/>
                <w:szCs w:val="20"/>
                <w:color w:val="auto"/>
              </w:rPr>
            </w:pPr>
            <w:r>
              <w:rPr>
                <w:rFonts w:ascii="Arial" w:cs="Arial" w:eastAsia="Arial" w:hAnsi="Arial"/>
                <w:sz w:val="16"/>
                <w:szCs w:val="16"/>
                <w:color w:val="auto"/>
              </w:rPr>
              <w:t>Unknown</w:t>
            </w:r>
          </w:p>
        </w:tc>
        <w:tc>
          <w:tcPr>
            <w:tcW w:w="0" w:type="dxa"/>
            <w:vAlign w:val="bottom"/>
          </w:tcPr>
          <w:p>
            <w:pPr>
              <w:spacing w:after="0"/>
              <w:rPr>
                <w:sz w:val="1"/>
                <w:szCs w:val="1"/>
                <w:color w:val="auto"/>
              </w:rPr>
            </w:pPr>
          </w:p>
        </w:tc>
      </w:tr>
      <w:tr>
        <w:trPr>
          <w:trHeight w:val="216"/>
        </w:trPr>
        <w:tc>
          <w:tcPr>
            <w:tcW w:w="124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180" w:type="dxa"/>
            <w:vAlign w:val="bottom"/>
            <w:gridSpan w:val="2"/>
          </w:tcPr>
          <w:p>
            <w:pPr>
              <w:ind w:left="60"/>
              <w:spacing w:after="0"/>
              <w:rPr>
                <w:sz w:val="20"/>
                <w:szCs w:val="20"/>
                <w:color w:val="auto"/>
              </w:rPr>
            </w:pPr>
            <w:r>
              <w:rPr>
                <w:rFonts w:ascii="Arial" w:cs="Arial" w:eastAsia="Arial" w:hAnsi="Arial"/>
                <w:sz w:val="16"/>
                <w:szCs w:val="16"/>
                <w:color w:val="auto"/>
              </w:rPr>
              <w:t>Rui Da Hung</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TAIWAN</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4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180" w:type="dxa"/>
            <w:vAlign w:val="bottom"/>
            <w:gridSpan w:val="2"/>
          </w:tcPr>
          <w:p>
            <w:pPr>
              <w:ind w:left="60"/>
              <w:spacing w:after="0"/>
              <w:rPr>
                <w:sz w:val="20"/>
                <w:szCs w:val="20"/>
                <w:color w:val="auto"/>
              </w:rPr>
            </w:pPr>
            <w:r>
              <w:rPr>
                <w:rFonts w:ascii="Arial" w:cs="Arial" w:eastAsia="Arial" w:hAnsi="Arial"/>
                <w:sz w:val="16"/>
                <w:szCs w:val="16"/>
                <w:color w:val="auto"/>
              </w:rPr>
              <w:t>SAFINA A.S.</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rPr>
              <w:t>CZECHIA</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4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180" w:type="dxa"/>
            <w:vAlign w:val="bottom"/>
            <w:gridSpan w:val="2"/>
          </w:tcPr>
          <w:p>
            <w:pPr>
              <w:ind w:left="60"/>
              <w:spacing w:after="0"/>
              <w:rPr>
                <w:sz w:val="20"/>
                <w:szCs w:val="20"/>
                <w:color w:val="auto"/>
              </w:rPr>
            </w:pPr>
            <w:r>
              <w:rPr>
                <w:rFonts w:ascii="Arial" w:cs="Arial" w:eastAsia="Arial" w:hAnsi="Arial"/>
                <w:sz w:val="16"/>
                <w:szCs w:val="16"/>
                <w:color w:val="auto"/>
              </w:rPr>
              <w:t>SEMPSA Joyeria Plateria S.A.</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SPAIN</w:t>
            </w:r>
          </w:p>
        </w:tc>
        <w:tc>
          <w:tcPr>
            <w:tcW w:w="2240" w:type="dxa"/>
            <w:vAlign w:val="bottom"/>
          </w:tcPr>
          <w:p>
            <w:pPr>
              <w:jc w:val="center"/>
              <w:spacing w:after="0"/>
              <w:rPr>
                <w:sz w:val="20"/>
                <w:szCs w:val="20"/>
                <w:color w:val="auto"/>
              </w:rPr>
            </w:pPr>
            <w:r>
              <w:rPr>
                <w:rFonts w:ascii="Arial" w:cs="Arial" w:eastAsia="Arial" w:hAnsi="Arial"/>
                <w:sz w:val="16"/>
                <w:szCs w:val="16"/>
                <w:color w:val="auto"/>
              </w:rPr>
              <w:t>Recognized</w:t>
            </w:r>
          </w:p>
        </w:tc>
        <w:tc>
          <w:tcPr>
            <w:tcW w:w="0" w:type="dxa"/>
            <w:vAlign w:val="bottom"/>
          </w:tcPr>
          <w:p>
            <w:pPr>
              <w:spacing w:after="0"/>
              <w:rPr>
                <w:sz w:val="1"/>
                <w:szCs w:val="1"/>
                <w:color w:val="auto"/>
              </w:rPr>
            </w:pPr>
          </w:p>
        </w:tc>
      </w:tr>
      <w:tr>
        <w:trPr>
          <w:trHeight w:val="216"/>
        </w:trPr>
        <w:tc>
          <w:tcPr>
            <w:tcW w:w="124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180" w:type="dxa"/>
            <w:vAlign w:val="bottom"/>
            <w:gridSpan w:val="2"/>
          </w:tcPr>
          <w:p>
            <w:pPr>
              <w:ind w:left="60"/>
              <w:spacing w:after="0"/>
              <w:rPr>
                <w:sz w:val="20"/>
                <w:szCs w:val="20"/>
                <w:color w:val="auto"/>
              </w:rPr>
            </w:pPr>
            <w:r>
              <w:rPr>
                <w:rFonts w:ascii="Arial" w:cs="Arial" w:eastAsia="Arial" w:hAnsi="Arial"/>
                <w:sz w:val="16"/>
                <w:szCs w:val="16"/>
                <w:color w:val="auto"/>
              </w:rPr>
              <w:t>Shandong Gold Smelting Co., Ltd.</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rPr>
              <w:t>CHINA</w:t>
            </w:r>
          </w:p>
        </w:tc>
        <w:tc>
          <w:tcPr>
            <w:tcW w:w="2240" w:type="dxa"/>
            <w:vAlign w:val="bottom"/>
          </w:tcPr>
          <w:p>
            <w:pPr>
              <w:jc w:val="center"/>
              <w:spacing w:after="0"/>
              <w:rPr>
                <w:sz w:val="20"/>
                <w:szCs w:val="20"/>
                <w:color w:val="auto"/>
              </w:rPr>
            </w:pPr>
            <w:r>
              <w:rPr>
                <w:rFonts w:ascii="Arial" w:cs="Arial" w:eastAsia="Arial" w:hAnsi="Arial"/>
                <w:sz w:val="16"/>
                <w:szCs w:val="16"/>
                <w:color w:val="auto"/>
              </w:rPr>
              <w:t>Recognized</w:t>
            </w:r>
          </w:p>
        </w:tc>
        <w:tc>
          <w:tcPr>
            <w:tcW w:w="0" w:type="dxa"/>
            <w:vAlign w:val="bottom"/>
          </w:tcPr>
          <w:p>
            <w:pPr>
              <w:spacing w:after="0"/>
              <w:rPr>
                <w:sz w:val="1"/>
                <w:szCs w:val="1"/>
                <w:color w:val="auto"/>
              </w:rPr>
            </w:pPr>
          </w:p>
        </w:tc>
      </w:tr>
      <w:tr>
        <w:trPr>
          <w:trHeight w:val="216"/>
        </w:trPr>
        <w:tc>
          <w:tcPr>
            <w:tcW w:w="124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180" w:type="dxa"/>
            <w:vAlign w:val="bottom"/>
            <w:gridSpan w:val="2"/>
          </w:tcPr>
          <w:p>
            <w:pPr>
              <w:ind w:left="60"/>
              <w:spacing w:after="0"/>
              <w:rPr>
                <w:sz w:val="20"/>
                <w:szCs w:val="20"/>
                <w:color w:val="auto"/>
              </w:rPr>
            </w:pPr>
            <w:r>
              <w:rPr>
                <w:rFonts w:ascii="Arial" w:cs="Arial" w:eastAsia="Arial" w:hAnsi="Arial"/>
                <w:sz w:val="16"/>
                <w:szCs w:val="16"/>
                <w:color w:val="auto"/>
              </w:rPr>
              <w:t>Shandong Zhaojin Gold &amp; Silver Refinery Co., Ltd.</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rPr>
              <w:t>CHINA</w:t>
            </w:r>
          </w:p>
        </w:tc>
        <w:tc>
          <w:tcPr>
            <w:tcW w:w="2240" w:type="dxa"/>
            <w:vAlign w:val="bottom"/>
          </w:tcPr>
          <w:p>
            <w:pPr>
              <w:jc w:val="center"/>
              <w:spacing w:after="0"/>
              <w:rPr>
                <w:sz w:val="20"/>
                <w:szCs w:val="20"/>
                <w:color w:val="auto"/>
              </w:rPr>
            </w:pPr>
            <w:r>
              <w:rPr>
                <w:rFonts w:ascii="Arial" w:cs="Arial" w:eastAsia="Arial" w:hAnsi="Arial"/>
                <w:sz w:val="16"/>
                <w:szCs w:val="16"/>
                <w:color w:val="auto"/>
              </w:rPr>
              <w:t>Recognized</w:t>
            </w:r>
          </w:p>
        </w:tc>
        <w:tc>
          <w:tcPr>
            <w:tcW w:w="0" w:type="dxa"/>
            <w:vAlign w:val="bottom"/>
          </w:tcPr>
          <w:p>
            <w:pPr>
              <w:spacing w:after="0"/>
              <w:rPr>
                <w:sz w:val="1"/>
                <w:szCs w:val="1"/>
                <w:color w:val="auto"/>
              </w:rPr>
            </w:pPr>
          </w:p>
        </w:tc>
      </w:tr>
      <w:tr>
        <w:trPr>
          <w:trHeight w:val="216"/>
        </w:trPr>
        <w:tc>
          <w:tcPr>
            <w:tcW w:w="124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180" w:type="dxa"/>
            <w:vAlign w:val="bottom"/>
            <w:gridSpan w:val="2"/>
          </w:tcPr>
          <w:p>
            <w:pPr>
              <w:ind w:left="60"/>
              <w:spacing w:after="0"/>
              <w:rPr>
                <w:sz w:val="20"/>
                <w:szCs w:val="20"/>
                <w:color w:val="auto"/>
              </w:rPr>
            </w:pPr>
            <w:r>
              <w:rPr>
                <w:rFonts w:ascii="Arial" w:cs="Arial" w:eastAsia="Arial" w:hAnsi="Arial"/>
                <w:sz w:val="16"/>
                <w:szCs w:val="16"/>
                <w:color w:val="auto"/>
              </w:rPr>
              <w:t>ABC Refinery Pty Ltd.</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rPr>
              <w:t>AUSTRALIA</w:t>
            </w:r>
          </w:p>
        </w:tc>
        <w:tc>
          <w:tcPr>
            <w:tcW w:w="2240" w:type="dxa"/>
            <w:vAlign w:val="bottom"/>
          </w:tcPr>
          <w:p>
            <w:pPr>
              <w:jc w:val="center"/>
              <w:spacing w:after="0"/>
              <w:rPr>
                <w:sz w:val="20"/>
                <w:szCs w:val="20"/>
                <w:color w:val="auto"/>
              </w:rPr>
            </w:pPr>
            <w:r>
              <w:rPr>
                <w:rFonts w:ascii="Arial" w:cs="Arial" w:eastAsia="Arial" w:hAnsi="Arial"/>
                <w:sz w:val="16"/>
                <w:szCs w:val="16"/>
                <w:color w:val="auto"/>
              </w:rPr>
              <w:t>Unknown</w:t>
            </w:r>
          </w:p>
        </w:tc>
        <w:tc>
          <w:tcPr>
            <w:tcW w:w="0" w:type="dxa"/>
            <w:vAlign w:val="bottom"/>
          </w:tcPr>
          <w:p>
            <w:pPr>
              <w:spacing w:after="0"/>
              <w:rPr>
                <w:sz w:val="1"/>
                <w:szCs w:val="1"/>
                <w:color w:val="auto"/>
              </w:rPr>
            </w:pPr>
          </w:p>
        </w:tc>
      </w:tr>
      <w:tr>
        <w:trPr>
          <w:trHeight w:val="216"/>
        </w:trPr>
        <w:tc>
          <w:tcPr>
            <w:tcW w:w="124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180" w:type="dxa"/>
            <w:vAlign w:val="bottom"/>
            <w:gridSpan w:val="2"/>
          </w:tcPr>
          <w:p>
            <w:pPr>
              <w:ind w:left="60"/>
              <w:spacing w:after="0"/>
              <w:rPr>
                <w:sz w:val="20"/>
                <w:szCs w:val="20"/>
                <w:color w:val="auto"/>
              </w:rPr>
            </w:pPr>
            <w:r>
              <w:rPr>
                <w:rFonts w:ascii="Arial" w:cs="Arial" w:eastAsia="Arial" w:hAnsi="Arial"/>
                <w:sz w:val="16"/>
                <w:szCs w:val="16"/>
                <w:color w:val="auto"/>
              </w:rPr>
              <w:t>Safimet S.p.A</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ITALY</w:t>
            </w:r>
          </w:p>
        </w:tc>
        <w:tc>
          <w:tcPr>
            <w:tcW w:w="2240" w:type="dxa"/>
            <w:vAlign w:val="bottom"/>
          </w:tcPr>
          <w:p>
            <w:pPr>
              <w:jc w:val="center"/>
              <w:spacing w:after="0"/>
              <w:rPr>
                <w:sz w:val="20"/>
                <w:szCs w:val="20"/>
                <w:color w:val="auto"/>
              </w:rPr>
            </w:pPr>
            <w:r>
              <w:rPr>
                <w:rFonts w:ascii="Arial" w:cs="Arial" w:eastAsia="Arial" w:hAnsi="Arial"/>
                <w:sz w:val="16"/>
                <w:szCs w:val="16"/>
                <w:color w:val="auto"/>
              </w:rPr>
              <w:t>Unknown</w:t>
            </w:r>
          </w:p>
        </w:tc>
        <w:tc>
          <w:tcPr>
            <w:tcW w:w="0" w:type="dxa"/>
            <w:vAlign w:val="bottom"/>
          </w:tcPr>
          <w:p>
            <w:pPr>
              <w:spacing w:after="0"/>
              <w:rPr>
                <w:sz w:val="1"/>
                <w:szCs w:val="1"/>
                <w:color w:val="auto"/>
              </w:rPr>
            </w:pPr>
          </w:p>
        </w:tc>
      </w:tr>
      <w:tr>
        <w:trPr>
          <w:trHeight w:val="216"/>
        </w:trPr>
        <w:tc>
          <w:tcPr>
            <w:tcW w:w="1240" w:type="dxa"/>
            <w:vAlign w:val="bottom"/>
            <w:gridSpan w:val="2"/>
          </w:tcPr>
          <w:p>
            <w:pPr>
              <w:ind w:left="60"/>
              <w:spacing w:after="0"/>
              <w:rPr>
                <w:sz w:val="20"/>
                <w:szCs w:val="20"/>
                <w:color w:val="auto"/>
              </w:rPr>
            </w:pPr>
            <w:r>
              <w:rPr>
                <w:rFonts w:ascii="Arial" w:cs="Arial" w:eastAsia="Arial" w:hAnsi="Arial"/>
                <w:sz w:val="16"/>
                <w:szCs w:val="16"/>
                <w:color w:val="auto"/>
              </w:rPr>
              <w:t>Tungsten</w:t>
            </w:r>
          </w:p>
        </w:tc>
        <w:tc>
          <w:tcPr>
            <w:tcW w:w="4180" w:type="dxa"/>
            <w:vAlign w:val="bottom"/>
            <w:gridSpan w:val="2"/>
          </w:tcPr>
          <w:p>
            <w:pPr>
              <w:ind w:left="60"/>
              <w:spacing w:after="0"/>
              <w:rPr>
                <w:sz w:val="20"/>
                <w:szCs w:val="20"/>
                <w:color w:val="auto"/>
              </w:rPr>
            </w:pPr>
            <w:r>
              <w:rPr>
                <w:rFonts w:ascii="Arial" w:cs="Arial" w:eastAsia="Arial" w:hAnsi="Arial"/>
                <w:sz w:val="16"/>
                <w:szCs w:val="16"/>
                <w:color w:val="auto"/>
              </w:rPr>
              <w:t>Shinwon Tungsten (Fujian Shanghang) Co., Ltd.</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rPr>
              <w:t>CHINA</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4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180" w:type="dxa"/>
            <w:vAlign w:val="bottom"/>
            <w:gridSpan w:val="2"/>
          </w:tcPr>
          <w:p>
            <w:pPr>
              <w:ind w:left="60"/>
              <w:spacing w:after="0"/>
              <w:rPr>
                <w:sz w:val="20"/>
                <w:szCs w:val="20"/>
                <w:color w:val="auto"/>
              </w:rPr>
            </w:pPr>
            <w:r>
              <w:rPr>
                <w:rFonts w:ascii="Arial" w:cs="Arial" w:eastAsia="Arial" w:hAnsi="Arial"/>
                <w:sz w:val="16"/>
                <w:szCs w:val="16"/>
                <w:color w:val="auto"/>
              </w:rPr>
              <w:t>Sichuan Tianze Precious Metals Co., Ltd.</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rPr>
              <w:t>CHINA</w:t>
            </w:r>
          </w:p>
        </w:tc>
        <w:tc>
          <w:tcPr>
            <w:tcW w:w="2240" w:type="dxa"/>
            <w:vAlign w:val="bottom"/>
          </w:tcPr>
          <w:p>
            <w:pPr>
              <w:jc w:val="center"/>
              <w:spacing w:after="0"/>
              <w:rPr>
                <w:sz w:val="20"/>
                <w:szCs w:val="20"/>
                <w:color w:val="auto"/>
              </w:rPr>
            </w:pPr>
            <w:r>
              <w:rPr>
                <w:rFonts w:ascii="Arial" w:cs="Arial" w:eastAsia="Arial" w:hAnsi="Arial"/>
                <w:sz w:val="16"/>
                <w:szCs w:val="16"/>
                <w:color w:val="auto"/>
              </w:rPr>
              <w:t>Recognized</w:t>
            </w:r>
          </w:p>
        </w:tc>
        <w:tc>
          <w:tcPr>
            <w:tcW w:w="0" w:type="dxa"/>
            <w:vAlign w:val="bottom"/>
          </w:tcPr>
          <w:p>
            <w:pPr>
              <w:spacing w:after="0"/>
              <w:rPr>
                <w:sz w:val="1"/>
                <w:szCs w:val="1"/>
                <w:color w:val="auto"/>
              </w:rPr>
            </w:pPr>
          </w:p>
        </w:tc>
      </w:tr>
      <w:tr>
        <w:trPr>
          <w:trHeight w:val="216"/>
        </w:trPr>
        <w:tc>
          <w:tcPr>
            <w:tcW w:w="1240" w:type="dxa"/>
            <w:vAlign w:val="bottom"/>
            <w:gridSpan w:val="2"/>
          </w:tcPr>
          <w:p>
            <w:pPr>
              <w:ind w:left="60"/>
              <w:spacing w:after="0"/>
              <w:rPr>
                <w:sz w:val="20"/>
                <w:szCs w:val="20"/>
                <w:color w:val="auto"/>
              </w:rPr>
            </w:pPr>
            <w:r>
              <w:rPr>
                <w:rFonts w:ascii="Arial" w:cs="Arial" w:eastAsia="Arial" w:hAnsi="Arial"/>
                <w:sz w:val="16"/>
                <w:szCs w:val="16"/>
                <w:color w:val="auto"/>
              </w:rPr>
              <w:t>Tantalum</w:t>
            </w:r>
          </w:p>
        </w:tc>
        <w:tc>
          <w:tcPr>
            <w:tcW w:w="4180" w:type="dxa"/>
            <w:vAlign w:val="bottom"/>
            <w:gridSpan w:val="2"/>
          </w:tcPr>
          <w:p>
            <w:pPr>
              <w:ind w:left="60"/>
              <w:spacing w:after="0"/>
              <w:rPr>
                <w:sz w:val="20"/>
                <w:szCs w:val="20"/>
                <w:color w:val="auto"/>
              </w:rPr>
            </w:pPr>
            <w:r>
              <w:rPr>
                <w:rFonts w:ascii="Arial" w:cs="Arial" w:eastAsia="Arial" w:hAnsi="Arial"/>
                <w:sz w:val="16"/>
                <w:szCs w:val="16"/>
                <w:color w:val="auto"/>
              </w:rPr>
              <w:t>XinXing HaoRong Electronic Material Co., Ltd.</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rPr>
              <w:t>CHINA</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4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180" w:type="dxa"/>
            <w:vAlign w:val="bottom"/>
            <w:gridSpan w:val="2"/>
          </w:tcPr>
          <w:p>
            <w:pPr>
              <w:ind w:left="60"/>
              <w:spacing w:after="0"/>
              <w:rPr>
                <w:sz w:val="20"/>
                <w:szCs w:val="20"/>
                <w:color w:val="auto"/>
              </w:rPr>
            </w:pPr>
            <w:r>
              <w:rPr>
                <w:rFonts w:ascii="Arial" w:cs="Arial" w:eastAsia="Arial" w:hAnsi="Arial"/>
                <w:sz w:val="16"/>
                <w:szCs w:val="16"/>
                <w:color w:val="auto"/>
              </w:rPr>
              <w:t>PT Bangka Serumpun</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INDONESIA</w:t>
            </w:r>
          </w:p>
        </w:tc>
        <w:tc>
          <w:tcPr>
            <w:tcW w:w="2240" w:type="dxa"/>
            <w:vAlign w:val="bottom"/>
          </w:tcPr>
          <w:p>
            <w:pPr>
              <w:jc w:val="center"/>
              <w:spacing w:after="0"/>
              <w:rPr>
                <w:sz w:val="20"/>
                <w:szCs w:val="20"/>
                <w:color w:val="auto"/>
              </w:rPr>
            </w:pPr>
            <w:r>
              <w:rPr>
                <w:rFonts w:ascii="Arial" w:cs="Arial" w:eastAsia="Arial" w:hAnsi="Arial"/>
                <w:sz w:val="16"/>
                <w:szCs w:val="16"/>
                <w:color w:val="auto"/>
              </w:rPr>
              <w:t>Unknown</w:t>
            </w:r>
          </w:p>
        </w:tc>
        <w:tc>
          <w:tcPr>
            <w:tcW w:w="0" w:type="dxa"/>
            <w:vAlign w:val="bottom"/>
          </w:tcPr>
          <w:p>
            <w:pPr>
              <w:spacing w:after="0"/>
              <w:rPr>
                <w:sz w:val="1"/>
                <w:szCs w:val="1"/>
                <w:color w:val="auto"/>
              </w:rPr>
            </w:pPr>
          </w:p>
        </w:tc>
      </w:tr>
      <w:tr>
        <w:trPr>
          <w:trHeight w:val="216"/>
        </w:trPr>
        <w:tc>
          <w:tcPr>
            <w:tcW w:w="124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180" w:type="dxa"/>
            <w:vAlign w:val="bottom"/>
            <w:gridSpan w:val="2"/>
          </w:tcPr>
          <w:p>
            <w:pPr>
              <w:ind w:left="60"/>
              <w:spacing w:after="0"/>
              <w:rPr>
                <w:sz w:val="20"/>
                <w:szCs w:val="20"/>
                <w:color w:val="auto"/>
              </w:rPr>
            </w:pPr>
            <w:r>
              <w:rPr>
                <w:rFonts w:ascii="Arial" w:cs="Arial" w:eastAsia="Arial" w:hAnsi="Arial"/>
                <w:sz w:val="16"/>
                <w:szCs w:val="16"/>
                <w:color w:val="auto"/>
              </w:rPr>
              <w:t>Impala Platinum - Base Metal Refinery (BMR)</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rPr>
              <w:t>SOUTH AFRICA</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378"/>
        </w:trPr>
        <w:tc>
          <w:tcPr>
            <w:tcW w:w="124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180" w:type="dxa"/>
            <w:vAlign w:val="bottom"/>
            <w:gridSpan w:val="2"/>
          </w:tcPr>
          <w:p>
            <w:pPr>
              <w:ind w:left="60"/>
              <w:spacing w:after="0"/>
              <w:rPr>
                <w:sz w:val="20"/>
                <w:szCs w:val="20"/>
                <w:color w:val="auto"/>
              </w:rPr>
            </w:pPr>
            <w:r>
              <w:rPr>
                <w:rFonts w:ascii="Arial" w:cs="Arial" w:eastAsia="Arial" w:hAnsi="Arial"/>
                <w:sz w:val="16"/>
                <w:szCs w:val="16"/>
                <w:color w:val="auto"/>
              </w:rPr>
              <w:t>PT Rajawali Rimba Perkasa</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INDONESIA</w:t>
            </w:r>
          </w:p>
        </w:tc>
        <w:tc>
          <w:tcPr>
            <w:tcW w:w="2240" w:type="dxa"/>
            <w:vAlign w:val="bottom"/>
          </w:tcPr>
          <w:p>
            <w:pPr>
              <w:jc w:val="center"/>
              <w:spacing w:after="0"/>
              <w:rPr>
                <w:sz w:val="20"/>
                <w:szCs w:val="20"/>
                <w:color w:val="auto"/>
              </w:rPr>
            </w:pPr>
            <w:r>
              <w:rPr>
                <w:rFonts w:ascii="Arial" w:cs="Arial" w:eastAsia="Arial" w:hAnsi="Arial"/>
                <w:sz w:val="16"/>
                <w:szCs w:val="16"/>
                <w:color w:val="auto"/>
              </w:rPr>
              <w:t>Unknown</w:t>
            </w:r>
          </w:p>
        </w:tc>
        <w:tc>
          <w:tcPr>
            <w:tcW w:w="0" w:type="dxa"/>
            <w:vAlign w:val="bottom"/>
          </w:tcPr>
          <w:p>
            <w:pPr>
              <w:spacing w:after="0"/>
              <w:rPr>
                <w:sz w:val="1"/>
                <w:szCs w:val="1"/>
                <w:color w:val="auto"/>
              </w:rPr>
            </w:pPr>
          </w:p>
        </w:tc>
      </w:tr>
      <w:tr>
        <w:trPr>
          <w:trHeight w:val="216"/>
        </w:trPr>
        <w:tc>
          <w:tcPr>
            <w:tcW w:w="124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180" w:type="dxa"/>
            <w:vAlign w:val="bottom"/>
            <w:gridSpan w:val="2"/>
          </w:tcPr>
          <w:p>
            <w:pPr>
              <w:ind w:left="60"/>
              <w:spacing w:after="0"/>
              <w:rPr>
                <w:sz w:val="20"/>
                <w:szCs w:val="20"/>
                <w:color w:val="auto"/>
              </w:rPr>
            </w:pPr>
            <w:r>
              <w:rPr>
                <w:rFonts w:ascii="Arial" w:cs="Arial" w:eastAsia="Arial" w:hAnsi="Arial"/>
                <w:sz w:val="16"/>
                <w:szCs w:val="16"/>
                <w:color w:val="auto"/>
              </w:rPr>
              <w:t>Impala Platinum - Rustenburg</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rPr>
              <w:t>SOUTH AFRICA</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378"/>
        </w:trPr>
        <w:tc>
          <w:tcPr>
            <w:tcW w:w="124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180" w:type="dxa"/>
            <w:vAlign w:val="bottom"/>
            <w:gridSpan w:val="2"/>
          </w:tcPr>
          <w:p>
            <w:pPr>
              <w:ind w:left="60"/>
              <w:spacing w:after="0"/>
              <w:rPr>
                <w:sz w:val="20"/>
                <w:szCs w:val="20"/>
                <w:color w:val="auto"/>
              </w:rPr>
            </w:pPr>
            <w:r>
              <w:rPr>
                <w:rFonts w:ascii="Arial" w:cs="Arial" w:eastAsia="Arial" w:hAnsi="Arial"/>
                <w:sz w:val="16"/>
                <w:szCs w:val="16"/>
                <w:color w:val="auto"/>
              </w:rPr>
              <w:t>Solar Applied Materials Technology Corp.</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TAIWAN</w:t>
            </w:r>
          </w:p>
        </w:tc>
        <w:tc>
          <w:tcPr>
            <w:tcW w:w="2240" w:type="dxa"/>
            <w:vAlign w:val="bottom"/>
          </w:tcPr>
          <w:p>
            <w:pPr>
              <w:jc w:val="center"/>
              <w:spacing w:after="0"/>
              <w:rPr>
                <w:sz w:val="20"/>
                <w:szCs w:val="20"/>
                <w:color w:val="auto"/>
              </w:rPr>
            </w:pPr>
            <w:r>
              <w:rPr>
                <w:rFonts w:ascii="Arial" w:cs="Arial" w:eastAsia="Arial" w:hAnsi="Arial"/>
                <w:sz w:val="16"/>
                <w:szCs w:val="16"/>
                <w:color w:val="auto"/>
              </w:rPr>
              <w:t>Recognized</w:t>
            </w:r>
          </w:p>
        </w:tc>
        <w:tc>
          <w:tcPr>
            <w:tcW w:w="0" w:type="dxa"/>
            <w:vAlign w:val="bottom"/>
          </w:tcPr>
          <w:p>
            <w:pPr>
              <w:spacing w:after="0"/>
              <w:rPr>
                <w:sz w:val="1"/>
                <w:szCs w:val="1"/>
                <w:color w:val="auto"/>
              </w:rPr>
            </w:pPr>
          </w:p>
        </w:tc>
      </w:tr>
      <w:tr>
        <w:trPr>
          <w:trHeight w:val="216"/>
        </w:trPr>
        <w:tc>
          <w:tcPr>
            <w:tcW w:w="124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180" w:type="dxa"/>
            <w:vAlign w:val="bottom"/>
            <w:gridSpan w:val="2"/>
          </w:tcPr>
          <w:p>
            <w:pPr>
              <w:ind w:left="60"/>
              <w:spacing w:after="0"/>
              <w:rPr>
                <w:sz w:val="20"/>
                <w:szCs w:val="20"/>
                <w:color w:val="auto"/>
              </w:rPr>
            </w:pPr>
            <w:r>
              <w:rPr>
                <w:rFonts w:ascii="Arial" w:cs="Arial" w:eastAsia="Arial" w:hAnsi="Arial"/>
                <w:sz w:val="16"/>
                <w:szCs w:val="16"/>
                <w:color w:val="auto"/>
              </w:rPr>
              <w:t>Sumitomo Metal Mining Co., Ltd.</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rPr>
              <w:t>JAPAN</w:t>
            </w:r>
          </w:p>
        </w:tc>
        <w:tc>
          <w:tcPr>
            <w:tcW w:w="2240" w:type="dxa"/>
            <w:vAlign w:val="bottom"/>
          </w:tcPr>
          <w:p>
            <w:pPr>
              <w:jc w:val="center"/>
              <w:spacing w:after="0"/>
              <w:rPr>
                <w:sz w:val="20"/>
                <w:szCs w:val="20"/>
                <w:color w:val="auto"/>
              </w:rPr>
            </w:pPr>
            <w:r>
              <w:rPr>
                <w:rFonts w:ascii="Arial" w:cs="Arial" w:eastAsia="Arial" w:hAnsi="Arial"/>
                <w:sz w:val="16"/>
                <w:szCs w:val="16"/>
                <w:color w:val="auto"/>
              </w:rPr>
              <w:t>Recognized</w:t>
            </w:r>
          </w:p>
        </w:tc>
        <w:tc>
          <w:tcPr>
            <w:tcW w:w="0" w:type="dxa"/>
            <w:vAlign w:val="bottom"/>
          </w:tcPr>
          <w:p>
            <w:pPr>
              <w:spacing w:after="0"/>
              <w:rPr>
                <w:sz w:val="1"/>
                <w:szCs w:val="1"/>
                <w:color w:val="auto"/>
              </w:rPr>
            </w:pPr>
          </w:p>
        </w:tc>
      </w:tr>
      <w:tr>
        <w:trPr>
          <w:trHeight w:val="216"/>
        </w:trPr>
        <w:tc>
          <w:tcPr>
            <w:tcW w:w="124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180" w:type="dxa"/>
            <w:vAlign w:val="bottom"/>
            <w:gridSpan w:val="2"/>
          </w:tcPr>
          <w:p>
            <w:pPr>
              <w:ind w:left="60"/>
              <w:spacing w:after="0"/>
              <w:rPr>
                <w:sz w:val="20"/>
                <w:szCs w:val="20"/>
                <w:color w:val="auto"/>
              </w:rPr>
            </w:pPr>
            <w:r>
              <w:rPr>
                <w:rFonts w:ascii="Arial" w:cs="Arial" w:eastAsia="Arial" w:hAnsi="Arial"/>
                <w:sz w:val="16"/>
                <w:szCs w:val="16"/>
                <w:color w:val="auto"/>
              </w:rPr>
              <w:t>Precious Minerals and Smelting Limited</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rPr>
              <w:t>INDIA</w:t>
            </w:r>
          </w:p>
        </w:tc>
        <w:tc>
          <w:tcPr>
            <w:tcW w:w="2240" w:type="dxa"/>
            <w:vAlign w:val="bottom"/>
          </w:tcPr>
          <w:p>
            <w:pPr>
              <w:jc w:val="center"/>
              <w:spacing w:after="0"/>
              <w:rPr>
                <w:sz w:val="20"/>
                <w:szCs w:val="20"/>
                <w:color w:val="auto"/>
              </w:rPr>
            </w:pPr>
            <w:r>
              <w:rPr>
                <w:rFonts w:ascii="Arial" w:cs="Arial" w:eastAsia="Arial" w:hAnsi="Arial"/>
                <w:sz w:val="16"/>
                <w:szCs w:val="16"/>
                <w:color w:val="auto"/>
              </w:rPr>
              <w:t>Unknown</w:t>
            </w:r>
          </w:p>
        </w:tc>
        <w:tc>
          <w:tcPr>
            <w:tcW w:w="0" w:type="dxa"/>
            <w:vAlign w:val="bottom"/>
          </w:tcPr>
          <w:p>
            <w:pPr>
              <w:spacing w:after="0"/>
              <w:rPr>
                <w:sz w:val="1"/>
                <w:szCs w:val="1"/>
                <w:color w:val="auto"/>
              </w:rPr>
            </w:pPr>
          </w:p>
        </w:tc>
      </w:tr>
      <w:tr>
        <w:trPr>
          <w:trHeight w:val="216"/>
        </w:trPr>
        <w:tc>
          <w:tcPr>
            <w:tcW w:w="124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180" w:type="dxa"/>
            <w:vAlign w:val="bottom"/>
            <w:gridSpan w:val="2"/>
          </w:tcPr>
          <w:p>
            <w:pPr>
              <w:ind w:left="60"/>
              <w:spacing w:after="0"/>
              <w:rPr>
                <w:sz w:val="20"/>
                <w:szCs w:val="20"/>
                <w:color w:val="auto"/>
              </w:rPr>
            </w:pPr>
            <w:r>
              <w:rPr>
                <w:rFonts w:ascii="Arial" w:cs="Arial" w:eastAsia="Arial" w:hAnsi="Arial"/>
                <w:sz w:val="16"/>
                <w:szCs w:val="16"/>
                <w:color w:val="auto"/>
              </w:rPr>
              <w:t>Gejiu City Fuxiang Industry and Trade Co., Ltd.</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rPr>
              <w:t>CHINA</w:t>
            </w:r>
          </w:p>
        </w:tc>
        <w:tc>
          <w:tcPr>
            <w:tcW w:w="2240" w:type="dxa"/>
            <w:vAlign w:val="bottom"/>
          </w:tcPr>
          <w:p>
            <w:pPr>
              <w:jc w:val="center"/>
              <w:spacing w:after="0"/>
              <w:rPr>
                <w:sz w:val="20"/>
                <w:szCs w:val="20"/>
                <w:color w:val="auto"/>
              </w:rPr>
            </w:pPr>
            <w:r>
              <w:rPr>
                <w:rFonts w:ascii="Arial" w:cs="Arial" w:eastAsia="Arial" w:hAnsi="Arial"/>
                <w:sz w:val="16"/>
                <w:szCs w:val="16"/>
                <w:color w:val="auto"/>
              </w:rPr>
              <w:t>Unknown</w:t>
            </w:r>
          </w:p>
        </w:tc>
        <w:tc>
          <w:tcPr>
            <w:tcW w:w="0" w:type="dxa"/>
            <w:vAlign w:val="bottom"/>
          </w:tcPr>
          <w:p>
            <w:pPr>
              <w:spacing w:after="0"/>
              <w:rPr>
                <w:sz w:val="1"/>
                <w:szCs w:val="1"/>
                <w:color w:val="auto"/>
              </w:rPr>
            </w:pPr>
          </w:p>
        </w:tc>
      </w:tr>
      <w:tr>
        <w:trPr>
          <w:trHeight w:val="216"/>
        </w:trPr>
        <w:tc>
          <w:tcPr>
            <w:tcW w:w="124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180" w:type="dxa"/>
            <w:vAlign w:val="bottom"/>
            <w:gridSpan w:val="2"/>
          </w:tcPr>
          <w:p>
            <w:pPr>
              <w:ind w:left="60"/>
              <w:spacing w:after="0"/>
              <w:rPr>
                <w:sz w:val="20"/>
                <w:szCs w:val="20"/>
                <w:color w:val="auto"/>
              </w:rPr>
            </w:pPr>
            <w:r>
              <w:rPr>
                <w:rFonts w:ascii="Arial" w:cs="Arial" w:eastAsia="Arial" w:hAnsi="Arial"/>
                <w:sz w:val="16"/>
                <w:szCs w:val="16"/>
                <w:color w:val="auto"/>
              </w:rPr>
              <w:t>SungEel HiMetal Co., Ltd.</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rPr>
              <w:t>SOUTH KOREA</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4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180" w:type="dxa"/>
            <w:vAlign w:val="bottom"/>
            <w:gridSpan w:val="2"/>
          </w:tcPr>
          <w:p>
            <w:pPr>
              <w:ind w:left="60"/>
              <w:spacing w:after="0"/>
              <w:rPr>
                <w:sz w:val="20"/>
                <w:szCs w:val="20"/>
                <w:color w:val="auto"/>
              </w:rPr>
            </w:pPr>
            <w:r>
              <w:rPr>
                <w:rFonts w:ascii="Arial" w:cs="Arial" w:eastAsia="Arial" w:hAnsi="Arial"/>
                <w:sz w:val="16"/>
                <w:szCs w:val="16"/>
                <w:color w:val="auto"/>
              </w:rPr>
              <w:t>Super Ligas</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BRAZIL</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4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180" w:type="dxa"/>
            <w:vAlign w:val="bottom"/>
            <w:gridSpan w:val="2"/>
          </w:tcPr>
          <w:p>
            <w:pPr>
              <w:ind w:left="60"/>
              <w:spacing w:after="0"/>
              <w:rPr>
                <w:sz w:val="20"/>
                <w:szCs w:val="20"/>
                <w:color w:val="auto"/>
              </w:rPr>
            </w:pPr>
            <w:r>
              <w:rPr>
                <w:rFonts w:ascii="Arial" w:cs="Arial" w:eastAsia="Arial" w:hAnsi="Arial"/>
                <w:sz w:val="16"/>
                <w:szCs w:val="16"/>
                <w:color w:val="auto"/>
              </w:rPr>
              <w:t>T.C.A S.p.A</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ITALY</w:t>
            </w:r>
          </w:p>
        </w:tc>
        <w:tc>
          <w:tcPr>
            <w:tcW w:w="2240" w:type="dxa"/>
            <w:vAlign w:val="bottom"/>
          </w:tcPr>
          <w:p>
            <w:pPr>
              <w:jc w:val="center"/>
              <w:spacing w:after="0"/>
              <w:rPr>
                <w:sz w:val="20"/>
                <w:szCs w:val="20"/>
                <w:color w:val="auto"/>
              </w:rPr>
            </w:pPr>
            <w:r>
              <w:rPr>
                <w:rFonts w:ascii="Arial" w:cs="Arial" w:eastAsia="Arial" w:hAnsi="Arial"/>
                <w:sz w:val="16"/>
                <w:szCs w:val="16"/>
                <w:color w:val="auto"/>
              </w:rPr>
              <w:t>Recognized</w:t>
            </w:r>
          </w:p>
        </w:tc>
        <w:tc>
          <w:tcPr>
            <w:tcW w:w="0" w:type="dxa"/>
            <w:vAlign w:val="bottom"/>
          </w:tcPr>
          <w:p>
            <w:pPr>
              <w:spacing w:after="0"/>
              <w:rPr>
                <w:sz w:val="1"/>
                <w:szCs w:val="1"/>
                <w:color w:val="auto"/>
              </w:rPr>
            </w:pPr>
          </w:p>
        </w:tc>
      </w:tr>
      <w:tr>
        <w:trPr>
          <w:trHeight w:val="164"/>
        </w:trPr>
        <w:tc>
          <w:tcPr>
            <w:tcW w:w="1240" w:type="dxa"/>
            <w:vAlign w:val="bottom"/>
            <w:gridSpan w:val="2"/>
          </w:tcPr>
          <w:p>
            <w:pPr>
              <w:ind w:left="60"/>
              <w:spacing w:after="0" w:line="164" w:lineRule="exact"/>
              <w:rPr>
                <w:sz w:val="20"/>
                <w:szCs w:val="20"/>
                <w:color w:val="auto"/>
              </w:rPr>
            </w:pPr>
            <w:r>
              <w:rPr>
                <w:rFonts w:ascii="Arial" w:cs="Arial" w:eastAsia="Arial" w:hAnsi="Arial"/>
                <w:sz w:val="16"/>
                <w:szCs w:val="16"/>
                <w:color w:val="auto"/>
              </w:rPr>
              <w:t>Tin</w:t>
            </w:r>
          </w:p>
        </w:tc>
        <w:tc>
          <w:tcPr>
            <w:tcW w:w="4180" w:type="dxa"/>
            <w:vAlign w:val="bottom"/>
            <w:gridSpan w:val="2"/>
          </w:tcPr>
          <w:p>
            <w:pPr>
              <w:ind w:left="60"/>
              <w:spacing w:after="0" w:line="164" w:lineRule="exact"/>
              <w:rPr>
                <w:sz w:val="20"/>
                <w:szCs w:val="20"/>
                <w:color w:val="auto"/>
              </w:rPr>
            </w:pPr>
            <w:r>
              <w:rPr>
                <w:rFonts w:ascii="Arial" w:cs="Arial" w:eastAsia="Arial" w:hAnsi="Arial"/>
                <w:sz w:val="16"/>
                <w:szCs w:val="16"/>
                <w:color w:val="auto"/>
              </w:rPr>
              <w:t>Takehara PVD Materials Plant / PVD Materials Division</w:t>
            </w:r>
          </w:p>
        </w:tc>
        <w:tc>
          <w:tcPr>
            <w:tcW w:w="3560" w:type="dxa"/>
            <w:vAlign w:val="bottom"/>
            <w:gridSpan w:val="2"/>
          </w:tcPr>
          <w:p>
            <w:pPr>
              <w:jc w:val="center"/>
              <w:ind w:right="120"/>
              <w:spacing w:after="0" w:line="164" w:lineRule="exact"/>
              <w:rPr>
                <w:sz w:val="20"/>
                <w:szCs w:val="20"/>
                <w:color w:val="auto"/>
              </w:rPr>
            </w:pPr>
            <w:r>
              <w:rPr>
                <w:rFonts w:ascii="Arial" w:cs="Arial" w:eastAsia="Arial" w:hAnsi="Arial"/>
                <w:sz w:val="16"/>
                <w:szCs w:val="16"/>
                <w:color w:val="auto"/>
              </w:rPr>
              <w:t>JAPAN</w:t>
            </w:r>
          </w:p>
        </w:tc>
        <w:tc>
          <w:tcPr>
            <w:tcW w:w="2240" w:type="dxa"/>
            <w:vAlign w:val="bottom"/>
          </w:tcPr>
          <w:p>
            <w:pPr>
              <w:jc w:val="center"/>
              <w:spacing w:after="0" w:line="164" w:lineRule="exact"/>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80" w:type="dxa"/>
            <w:vAlign w:val="bottom"/>
            <w:gridSpan w:val="2"/>
          </w:tcPr>
          <w:p>
            <w:pPr>
              <w:ind w:left="60"/>
              <w:spacing w:after="0"/>
              <w:rPr>
                <w:sz w:val="20"/>
                <w:szCs w:val="20"/>
                <w:color w:val="auto"/>
              </w:rPr>
            </w:pPr>
            <w:r>
              <w:rPr>
                <w:rFonts w:ascii="Arial" w:cs="Arial" w:eastAsia="Arial" w:hAnsi="Arial"/>
                <w:sz w:val="16"/>
                <w:szCs w:val="16"/>
                <w:color w:val="auto"/>
              </w:rPr>
              <w:t>of MITSUI MINING &amp; SMELTING CO., LTD.</w:t>
            </w: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40" w:type="dxa"/>
            <w:vAlign w:val="bottom"/>
            <w:gridSpan w:val="2"/>
          </w:tcPr>
          <w:p>
            <w:pPr>
              <w:ind w:left="60"/>
              <w:spacing w:after="0"/>
              <w:rPr>
                <w:sz w:val="20"/>
                <w:szCs w:val="20"/>
                <w:color w:val="auto"/>
              </w:rPr>
            </w:pPr>
            <w:r>
              <w:rPr>
                <w:rFonts w:ascii="Arial" w:cs="Arial" w:eastAsia="Arial" w:hAnsi="Arial"/>
                <w:sz w:val="16"/>
                <w:szCs w:val="16"/>
                <w:color w:val="auto"/>
              </w:rPr>
              <w:t>Tantalum</w:t>
            </w:r>
          </w:p>
        </w:tc>
        <w:tc>
          <w:tcPr>
            <w:tcW w:w="4180" w:type="dxa"/>
            <w:vAlign w:val="bottom"/>
            <w:gridSpan w:val="2"/>
          </w:tcPr>
          <w:p>
            <w:pPr>
              <w:ind w:left="60"/>
              <w:spacing w:after="0"/>
              <w:rPr>
                <w:sz w:val="20"/>
                <w:szCs w:val="20"/>
                <w:color w:val="auto"/>
              </w:rPr>
            </w:pPr>
            <w:r>
              <w:rPr>
                <w:rFonts w:ascii="Arial" w:cs="Arial" w:eastAsia="Arial" w:hAnsi="Arial"/>
                <w:sz w:val="16"/>
                <w:szCs w:val="16"/>
                <w:color w:val="auto"/>
              </w:rPr>
              <w:t>Taki Chemical Co., Ltd.</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rPr>
              <w:t>JAPAN</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40" w:top="918"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rPr>
              <w:t>RMI Conformance Level</w:t>
            </w:r>
          </w:p>
        </w:tc>
        <w:tc>
          <w:tcPr>
            <w:tcW w:w="0" w:type="dxa"/>
            <w:vAlign w:val="bottom"/>
          </w:tcPr>
          <w:p>
            <w:pPr>
              <w:spacing w:after="0"/>
              <w:rPr>
                <w:sz w:val="1"/>
                <w:szCs w:val="1"/>
                <w:color w:val="auto"/>
              </w:rPr>
            </w:pPr>
          </w:p>
        </w:tc>
      </w:tr>
      <w:tr>
        <w:trPr>
          <w:trHeight w:val="176"/>
        </w:trPr>
        <w:tc>
          <w:tcPr>
            <w:tcW w:w="122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rPr>
              <w:t>Metal</w:t>
            </w:r>
          </w:p>
        </w:tc>
        <w:tc>
          <w:tcPr>
            <w:tcW w:w="4200" w:type="dxa"/>
            <w:vAlign w:val="bottom"/>
            <w:gridSpan w:val="2"/>
            <w:vMerge w:val="restart"/>
          </w:tcPr>
          <w:p>
            <w:pPr>
              <w:ind w:left="1040"/>
              <w:spacing w:after="0"/>
              <w:rPr>
                <w:sz w:val="20"/>
                <w:szCs w:val="20"/>
                <w:color w:val="auto"/>
              </w:rPr>
            </w:pPr>
            <w:r>
              <w:rPr>
                <w:rFonts w:ascii="Arial" w:cs="Arial" w:eastAsia="Arial" w:hAnsi="Arial"/>
                <w:sz w:val="18"/>
                <w:szCs w:val="18"/>
                <w:b w:val="1"/>
                <w:bCs w:val="1"/>
                <w:color w:val="auto"/>
              </w:rPr>
              <w:t>Standard Smelter Name</w:t>
            </w:r>
          </w:p>
        </w:tc>
        <w:tc>
          <w:tcPr>
            <w:tcW w:w="356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9"/>
              </w:rPr>
              <w:t>Smelter Facility Location</w:t>
            </w:r>
          </w:p>
        </w:tc>
        <w:tc>
          <w:tcPr>
            <w:tcW w:w="22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or LMBA/ RJC COP or</w:t>
            </w:r>
          </w:p>
        </w:tc>
        <w:tc>
          <w:tcPr>
            <w:tcW w:w="0" w:type="dxa"/>
            <w:vAlign w:val="bottom"/>
          </w:tcPr>
          <w:p>
            <w:pPr>
              <w:spacing w:after="0"/>
              <w:rPr>
                <w:sz w:val="1"/>
                <w:szCs w:val="1"/>
                <w:color w:val="auto"/>
              </w:rPr>
            </w:pPr>
          </w:p>
        </w:tc>
      </w:tr>
      <w:tr>
        <w:trPr>
          <w:trHeight w:val="243"/>
        </w:trPr>
        <w:tc>
          <w:tcPr>
            <w:tcW w:w="1220" w:type="dxa"/>
            <w:vAlign w:val="bottom"/>
            <w:gridSpan w:val="2"/>
            <w:vMerge w:val="continue"/>
          </w:tcPr>
          <w:p>
            <w:pPr>
              <w:spacing w:after="0"/>
              <w:rPr>
                <w:sz w:val="21"/>
                <w:szCs w:val="21"/>
                <w:color w:val="auto"/>
              </w:rPr>
            </w:pPr>
          </w:p>
        </w:tc>
        <w:tc>
          <w:tcPr>
            <w:tcW w:w="4200" w:type="dxa"/>
            <w:vAlign w:val="bottom"/>
            <w:gridSpan w:val="2"/>
            <w:vMerge w:val="continue"/>
          </w:tcPr>
          <w:p>
            <w:pPr>
              <w:spacing w:after="0"/>
              <w:rPr>
                <w:sz w:val="21"/>
                <w:szCs w:val="21"/>
                <w:color w:val="auto"/>
              </w:rPr>
            </w:pPr>
          </w:p>
        </w:tc>
        <w:tc>
          <w:tcPr>
            <w:tcW w:w="3560" w:type="dxa"/>
            <w:vAlign w:val="bottom"/>
            <w:gridSpan w:val="2"/>
            <w:vMerge w:val="continue"/>
          </w:tcPr>
          <w:p>
            <w:pPr>
              <w:spacing w:after="0"/>
              <w:rPr>
                <w:sz w:val="21"/>
                <w:szCs w:val="21"/>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9"/>
              </w:rPr>
              <w:t>CoC “recognized”</w:t>
            </w:r>
          </w:p>
        </w:tc>
        <w:tc>
          <w:tcPr>
            <w:tcW w:w="0" w:type="dxa"/>
            <w:vAlign w:val="bottom"/>
          </w:tcPr>
          <w:p>
            <w:pPr>
              <w:spacing w:after="0"/>
              <w:rPr>
                <w:sz w:val="1"/>
                <w:szCs w:val="1"/>
                <w:color w:val="auto"/>
              </w:rPr>
            </w:pPr>
          </w:p>
        </w:tc>
      </w:tr>
      <w:tr>
        <w:trPr>
          <w:trHeight w:val="208"/>
        </w:trPr>
        <w:tc>
          <w:tcPr>
            <w:tcW w:w="112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rPr>
              <w:t>Gold</w:t>
            </w:r>
          </w:p>
        </w:tc>
        <w:tc>
          <w:tcPr>
            <w:tcW w:w="100" w:type="dxa"/>
            <w:vAlign w:val="bottom"/>
          </w:tcPr>
          <w:p>
            <w:pPr>
              <w:spacing w:after="0"/>
              <w:rPr>
                <w:sz w:val="18"/>
                <w:szCs w:val="18"/>
                <w:color w:val="auto"/>
              </w:rPr>
            </w:pPr>
          </w:p>
        </w:tc>
        <w:tc>
          <w:tcPr>
            <w:tcW w:w="410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Tanaka Kikinzoku Kogyo K.K.</w:t>
            </w:r>
          </w:p>
        </w:tc>
        <w:tc>
          <w:tcPr>
            <w:tcW w:w="100" w:type="dxa"/>
            <w:vAlign w:val="bottom"/>
          </w:tcPr>
          <w:p>
            <w:pPr>
              <w:spacing w:after="0"/>
              <w:rPr>
                <w:sz w:val="18"/>
                <w:szCs w:val="18"/>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JAPAN</w:t>
            </w:r>
          </w:p>
        </w:tc>
        <w:tc>
          <w:tcPr>
            <w:tcW w:w="100" w:type="dxa"/>
            <w:vAlign w:val="bottom"/>
          </w:tcPr>
          <w:p>
            <w:pPr>
              <w:spacing w:after="0"/>
              <w:rPr>
                <w:sz w:val="18"/>
                <w:szCs w:val="18"/>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Recognized</w:t>
            </w:r>
          </w:p>
        </w:tc>
        <w:tc>
          <w:tcPr>
            <w:tcW w:w="0" w:type="dxa"/>
            <w:vAlign w:val="bottom"/>
          </w:tcPr>
          <w:p>
            <w:pPr>
              <w:spacing w:after="0"/>
              <w:rPr>
                <w:sz w:val="1"/>
                <w:szCs w:val="1"/>
                <w:color w:val="auto"/>
              </w:rPr>
            </w:pPr>
          </w:p>
        </w:tc>
      </w:tr>
      <w:tr>
        <w:trPr>
          <w:trHeight w:val="215"/>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Tungsten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TANIOBIS Smelting GmbH &amp; Co. KG</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rPr>
              <w:t>GERMANY</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Metal Concentrators SA (Pty) Ltd.</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rPr>
              <w:t>SOUTH AFRICA</w:t>
            </w:r>
          </w:p>
        </w:tc>
        <w:tc>
          <w:tcPr>
            <w:tcW w:w="2240" w:type="dxa"/>
            <w:vAlign w:val="bottom"/>
          </w:tcPr>
          <w:p>
            <w:pPr>
              <w:jc w:val="center"/>
              <w:spacing w:after="0"/>
              <w:rPr>
                <w:sz w:val="20"/>
                <w:szCs w:val="20"/>
                <w:color w:val="auto"/>
              </w:rPr>
            </w:pPr>
            <w:r>
              <w:rPr>
                <w:rFonts w:ascii="Arial" w:cs="Arial" w:eastAsia="Arial" w:hAnsi="Arial"/>
                <w:sz w:val="16"/>
                <w:szCs w:val="16"/>
                <w:color w:val="auto"/>
              </w:rPr>
              <w:t>Unknown</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Tantalum</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TANIOBIS Smelting GmbH &amp; Co. KG</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rPr>
              <w:t>GERMANY</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Tantalum</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Telex Metals</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UNITED STATES</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Tungsten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Fujian Xinlu Tungsten</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rPr>
              <w:t>CHINA</w:t>
            </w:r>
          </w:p>
        </w:tc>
        <w:tc>
          <w:tcPr>
            <w:tcW w:w="2240" w:type="dxa"/>
            <w:vAlign w:val="bottom"/>
          </w:tcPr>
          <w:p>
            <w:pPr>
              <w:jc w:val="center"/>
              <w:spacing w:after="0"/>
              <w:rPr>
                <w:sz w:val="20"/>
                <w:szCs w:val="20"/>
                <w:color w:val="auto"/>
              </w:rPr>
            </w:pPr>
            <w:r>
              <w:rPr>
                <w:rFonts w:ascii="Arial" w:cs="Arial" w:eastAsia="Arial" w:hAnsi="Arial"/>
                <w:sz w:val="16"/>
                <w:szCs w:val="16"/>
                <w:color w:val="auto"/>
              </w:rPr>
              <w:t>Unknown</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WEEEREFINING</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rPr>
              <w:t>FRANCE</w:t>
            </w:r>
          </w:p>
        </w:tc>
        <w:tc>
          <w:tcPr>
            <w:tcW w:w="2240" w:type="dxa"/>
            <w:vAlign w:val="bottom"/>
          </w:tcPr>
          <w:p>
            <w:pPr>
              <w:jc w:val="center"/>
              <w:spacing w:after="0"/>
              <w:rPr>
                <w:sz w:val="20"/>
                <w:szCs w:val="20"/>
                <w:color w:val="auto"/>
              </w:rPr>
            </w:pPr>
            <w:r>
              <w:rPr>
                <w:rFonts w:ascii="Arial" w:cs="Arial" w:eastAsia="Arial" w:hAnsi="Arial"/>
                <w:sz w:val="16"/>
                <w:szCs w:val="16"/>
                <w:color w:val="auto"/>
              </w:rPr>
              <w:t>Unknown</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Thaisarco</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rPr>
              <w:t>THAILAND</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DS Myanmar</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rPr>
              <w:t>MYANMAR</w:t>
            </w:r>
          </w:p>
        </w:tc>
        <w:tc>
          <w:tcPr>
            <w:tcW w:w="2240" w:type="dxa"/>
            <w:vAlign w:val="bottom"/>
          </w:tcPr>
          <w:p>
            <w:pPr>
              <w:jc w:val="center"/>
              <w:spacing w:after="0"/>
              <w:rPr>
                <w:sz w:val="20"/>
                <w:szCs w:val="20"/>
                <w:color w:val="auto"/>
              </w:rPr>
            </w:pPr>
            <w:r>
              <w:rPr>
                <w:rFonts w:ascii="Arial" w:cs="Arial" w:eastAsia="Arial" w:hAnsi="Arial"/>
                <w:sz w:val="16"/>
                <w:szCs w:val="16"/>
                <w:color w:val="auto"/>
              </w:rPr>
              <w:t>Unknown</w:t>
            </w:r>
          </w:p>
        </w:tc>
        <w:tc>
          <w:tcPr>
            <w:tcW w:w="0" w:type="dxa"/>
            <w:vAlign w:val="bottom"/>
          </w:tcPr>
          <w:p>
            <w:pPr>
              <w:spacing w:after="0"/>
              <w:rPr>
                <w:sz w:val="1"/>
                <w:szCs w:val="1"/>
                <w:color w:val="auto"/>
              </w:rPr>
            </w:pPr>
          </w:p>
        </w:tc>
      </w:tr>
      <w:tr>
        <w:trPr>
          <w:trHeight w:val="378"/>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Tin Smelting Branch of Yunnan Tin Co., Ltd.</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rPr>
              <w:t>CHINA</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Tantalum</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5D Production OU</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rPr>
              <w:t>ESTONIA</w:t>
            </w:r>
          </w:p>
        </w:tc>
        <w:tc>
          <w:tcPr>
            <w:tcW w:w="2240" w:type="dxa"/>
            <w:vAlign w:val="bottom"/>
          </w:tcPr>
          <w:p>
            <w:pPr>
              <w:jc w:val="center"/>
              <w:spacing w:after="0"/>
              <w:rPr>
                <w:sz w:val="20"/>
                <w:szCs w:val="20"/>
                <w:color w:val="auto"/>
              </w:rPr>
            </w:pPr>
            <w:r>
              <w:rPr>
                <w:rFonts w:ascii="Arial" w:cs="Arial" w:eastAsia="Arial" w:hAnsi="Arial"/>
                <w:sz w:val="16"/>
                <w:szCs w:val="16"/>
                <w:color w:val="auto"/>
              </w:rPr>
              <w:t>Unknown</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Tin Technology &amp; Refining</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UNITED STATES</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Tokuriki Honten Co., Ltd.</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rPr>
              <w:t>JAPAN</w:t>
            </w:r>
          </w:p>
        </w:tc>
        <w:tc>
          <w:tcPr>
            <w:tcW w:w="2240" w:type="dxa"/>
            <w:vAlign w:val="bottom"/>
          </w:tcPr>
          <w:p>
            <w:pPr>
              <w:jc w:val="center"/>
              <w:spacing w:after="0"/>
              <w:rPr>
                <w:sz w:val="20"/>
                <w:szCs w:val="20"/>
                <w:color w:val="auto"/>
              </w:rPr>
            </w:pPr>
            <w:r>
              <w:rPr>
                <w:rFonts w:ascii="Arial" w:cs="Arial" w:eastAsia="Arial" w:hAnsi="Arial"/>
                <w:sz w:val="16"/>
                <w:szCs w:val="16"/>
                <w:color w:val="auto"/>
              </w:rPr>
              <w:t>Recognized</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TOO Tau-Ken-Altyn</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rPr>
              <w:t>KAZAKHSTAN</w:t>
            </w:r>
          </w:p>
        </w:tc>
        <w:tc>
          <w:tcPr>
            <w:tcW w:w="2240" w:type="dxa"/>
            <w:vAlign w:val="bottom"/>
          </w:tcPr>
          <w:p>
            <w:pPr>
              <w:jc w:val="center"/>
              <w:spacing w:after="0"/>
              <w:rPr>
                <w:sz w:val="20"/>
                <w:szCs w:val="20"/>
                <w:color w:val="auto"/>
              </w:rPr>
            </w:pPr>
            <w:r>
              <w:rPr>
                <w:rFonts w:ascii="Arial" w:cs="Arial" w:eastAsia="Arial" w:hAnsi="Arial"/>
                <w:sz w:val="16"/>
                <w:szCs w:val="16"/>
                <w:color w:val="auto"/>
              </w:rPr>
              <w:t>Recognized</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Tungsten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Tungsten Vietnam Joint Stock Company</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rPr>
              <w:t>VIETNAM</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Tantalum</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ULBA</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rPr>
              <w:t>KAZAKHSTAN</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Umicore S.A. Business Unit Precious Metals Refining</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BELGIUM</w:t>
            </w:r>
          </w:p>
        </w:tc>
        <w:tc>
          <w:tcPr>
            <w:tcW w:w="2240" w:type="dxa"/>
            <w:vAlign w:val="bottom"/>
          </w:tcPr>
          <w:p>
            <w:pPr>
              <w:jc w:val="center"/>
              <w:spacing w:after="0"/>
              <w:rPr>
                <w:sz w:val="20"/>
                <w:szCs w:val="20"/>
                <w:color w:val="auto"/>
              </w:rPr>
            </w:pPr>
            <w:r>
              <w:rPr>
                <w:rFonts w:ascii="Arial" w:cs="Arial" w:eastAsia="Arial" w:hAnsi="Arial"/>
                <w:sz w:val="16"/>
                <w:szCs w:val="16"/>
                <w:color w:val="auto"/>
              </w:rPr>
              <w:t>Recognized</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United Precious Metal Refining, Inc.</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UNITED STATES</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Valcambi S.A.</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rPr>
              <w:t>SWITZERLAND</w:t>
            </w:r>
          </w:p>
        </w:tc>
        <w:tc>
          <w:tcPr>
            <w:tcW w:w="2240" w:type="dxa"/>
            <w:vAlign w:val="bottom"/>
          </w:tcPr>
          <w:p>
            <w:pPr>
              <w:jc w:val="center"/>
              <w:spacing w:after="0"/>
              <w:rPr>
                <w:sz w:val="20"/>
                <w:szCs w:val="20"/>
                <w:color w:val="auto"/>
              </w:rPr>
            </w:pPr>
            <w:r>
              <w:rPr>
                <w:rFonts w:ascii="Arial" w:cs="Arial" w:eastAsia="Arial" w:hAnsi="Arial"/>
                <w:sz w:val="16"/>
                <w:szCs w:val="16"/>
                <w:color w:val="auto"/>
              </w:rPr>
              <w:t>Recognized</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Tungsten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Philippine Carreytech Metal Corp.</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rPr>
              <w:t>PHILIPPINES</w:t>
            </w:r>
          </w:p>
        </w:tc>
        <w:tc>
          <w:tcPr>
            <w:tcW w:w="2240" w:type="dxa"/>
            <w:vAlign w:val="bottom"/>
          </w:tcPr>
          <w:p>
            <w:pPr>
              <w:jc w:val="center"/>
              <w:spacing w:after="0"/>
              <w:rPr>
                <w:sz w:val="20"/>
                <w:szCs w:val="20"/>
                <w:color w:val="auto"/>
              </w:rPr>
            </w:pPr>
            <w:r>
              <w:rPr>
                <w:rFonts w:ascii="Arial" w:cs="Arial" w:eastAsia="Arial" w:hAnsi="Arial"/>
                <w:sz w:val="16"/>
                <w:szCs w:val="16"/>
                <w:color w:val="auto"/>
              </w:rPr>
              <w:t>Unknown</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Western Australian Mint (T/a The Perth Mint)</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rPr>
              <w:t>AUSTRALIA</w:t>
            </w:r>
          </w:p>
        </w:tc>
        <w:tc>
          <w:tcPr>
            <w:tcW w:w="2240" w:type="dxa"/>
            <w:vAlign w:val="bottom"/>
          </w:tcPr>
          <w:p>
            <w:pPr>
              <w:jc w:val="center"/>
              <w:spacing w:after="0"/>
              <w:rPr>
                <w:sz w:val="20"/>
                <w:szCs w:val="20"/>
                <w:color w:val="auto"/>
              </w:rPr>
            </w:pPr>
            <w:r>
              <w:rPr>
                <w:rFonts w:ascii="Arial" w:cs="Arial" w:eastAsia="Arial" w:hAnsi="Arial"/>
                <w:sz w:val="16"/>
                <w:szCs w:val="16"/>
                <w:color w:val="auto"/>
              </w:rPr>
              <w:t>Recognized</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White Solder Metalurgia e Mineracao Ltda.</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BRAZIL</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WIELAND Edelmetalle GmbH</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rPr>
              <w:t>GERMANY</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Tungsten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Wolfram Bergbau und Hutten AG</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rPr>
              <w:t>AUSTRIA</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Woodcross Smelting Company Limited</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UGANDA</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Tungsten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Xiamen Tungsten (H.C.) Co., Ltd.</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rPr>
              <w:t>CHINA</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Tungsten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Xiamen Tungsten Co., Ltd.</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rPr>
              <w:t>CHINA</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Yokohama Metal Co., Ltd.</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color w:val="auto"/>
              </w:rPr>
              <w:t>JAPAN</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Tin</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Yunnan Yunfan Non-ferrous Metals Co., Ltd.</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rPr>
              <w:t>CHINA</w:t>
            </w:r>
          </w:p>
        </w:tc>
        <w:tc>
          <w:tcPr>
            <w:tcW w:w="2240" w:type="dxa"/>
            <w:vAlign w:val="bottom"/>
          </w:tcPr>
          <w:p>
            <w:pPr>
              <w:jc w:val="center"/>
              <w:spacing w:after="0"/>
              <w:rPr>
                <w:sz w:val="20"/>
                <w:szCs w:val="20"/>
                <w:color w:val="auto"/>
              </w:rPr>
            </w:pPr>
            <w:r>
              <w:rPr>
                <w:rFonts w:ascii="Arial" w:cs="Arial" w:eastAsia="Arial" w:hAnsi="Arial"/>
                <w:sz w:val="16"/>
                <w:szCs w:val="16"/>
                <w:color w:val="auto"/>
              </w:rPr>
              <w:t>Conformant</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Zhongyuan Gold Smelter of Zhongjin Gold Corporation</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rPr>
              <w:t>CHINA</w:t>
            </w:r>
          </w:p>
        </w:tc>
        <w:tc>
          <w:tcPr>
            <w:tcW w:w="2240" w:type="dxa"/>
            <w:vAlign w:val="bottom"/>
          </w:tcPr>
          <w:p>
            <w:pPr>
              <w:jc w:val="center"/>
              <w:spacing w:after="0"/>
              <w:rPr>
                <w:sz w:val="20"/>
                <w:szCs w:val="20"/>
                <w:color w:val="auto"/>
              </w:rPr>
            </w:pPr>
            <w:r>
              <w:rPr>
                <w:rFonts w:ascii="Arial" w:cs="Arial" w:eastAsia="Arial" w:hAnsi="Arial"/>
                <w:sz w:val="16"/>
                <w:szCs w:val="16"/>
                <w:color w:val="auto"/>
              </w:rPr>
              <w:t>Recognized</w:t>
            </w: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Gold</w:t>
            </w:r>
          </w:p>
        </w:tc>
        <w:tc>
          <w:tcPr>
            <w:tcW w:w="4200" w:type="dxa"/>
            <w:vAlign w:val="bottom"/>
            <w:gridSpan w:val="2"/>
          </w:tcPr>
          <w:p>
            <w:pPr>
              <w:ind w:left="80"/>
              <w:spacing w:after="0"/>
              <w:rPr>
                <w:sz w:val="20"/>
                <w:szCs w:val="20"/>
                <w:color w:val="auto"/>
              </w:rPr>
            </w:pPr>
            <w:r>
              <w:rPr>
                <w:rFonts w:ascii="Arial" w:cs="Arial" w:eastAsia="Arial" w:hAnsi="Arial"/>
                <w:sz w:val="16"/>
                <w:szCs w:val="16"/>
                <w:color w:val="auto"/>
              </w:rPr>
              <w:t>Zijin Mining Group Gold Smelting Co. Ltd.</w:t>
            </w:r>
          </w:p>
        </w:tc>
        <w:tc>
          <w:tcPr>
            <w:tcW w:w="3560" w:type="dxa"/>
            <w:vAlign w:val="bottom"/>
            <w:gridSpan w:val="2"/>
          </w:tcPr>
          <w:p>
            <w:pPr>
              <w:jc w:val="center"/>
              <w:ind w:right="100"/>
              <w:spacing w:after="0"/>
              <w:rPr>
                <w:sz w:val="20"/>
                <w:szCs w:val="20"/>
                <w:color w:val="auto"/>
              </w:rPr>
            </w:pPr>
            <w:r>
              <w:rPr>
                <w:rFonts w:ascii="Arial" w:cs="Arial" w:eastAsia="Arial" w:hAnsi="Arial"/>
                <w:sz w:val="16"/>
                <w:szCs w:val="16"/>
                <w:color w:val="auto"/>
              </w:rPr>
              <w:t>CHINA</w:t>
            </w:r>
          </w:p>
        </w:tc>
        <w:tc>
          <w:tcPr>
            <w:tcW w:w="2240" w:type="dxa"/>
            <w:vAlign w:val="bottom"/>
          </w:tcPr>
          <w:p>
            <w:pPr>
              <w:jc w:val="center"/>
              <w:spacing w:after="0"/>
              <w:rPr>
                <w:sz w:val="20"/>
                <w:szCs w:val="20"/>
                <w:color w:val="auto"/>
              </w:rPr>
            </w:pPr>
            <w:r>
              <w:rPr>
                <w:rFonts w:ascii="Arial" w:cs="Arial" w:eastAsia="Arial" w:hAnsi="Arial"/>
                <w:sz w:val="16"/>
                <w:szCs w:val="16"/>
                <w:color w:val="auto"/>
              </w:rPr>
              <w:t>Recognized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40" w:top="918" w:right="339" w:bottom="1440" w:gutter="0" w:footer="0" w:header="0"/>
        </w:sectPr>
      </w:pPr>
    </w:p>
    <w:bookmarkStart w:id="13" w:name="page14"/>
    <w:bookmarkEnd w:id="13"/>
    <w:p>
      <w:pPr>
        <w:ind w:left="5040"/>
        <w:spacing w:after="0"/>
        <w:rPr>
          <w:sz w:val="20"/>
          <w:szCs w:val="20"/>
          <w:color w:val="auto"/>
        </w:rPr>
      </w:pPr>
      <w:r>
        <w:rPr>
          <w:rFonts w:ascii="Arial" w:cs="Arial" w:eastAsia="Arial" w:hAnsi="Arial"/>
          <w:sz w:val="18"/>
          <w:szCs w:val="18"/>
          <w:b w:val="1"/>
          <w:bCs w:val="1"/>
          <w:color w:val="auto"/>
        </w:rPr>
        <w:t>Attachment B</w:t>
      </w:r>
    </w:p>
    <w:p>
      <w:pPr>
        <w:spacing w:after="0" w:line="104"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2025 Countries of Origin</w:t>
      </w:r>
    </w:p>
    <w:p>
      <w:pPr>
        <w:spacing w:after="0" w:line="252"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The following lists the countries of origin from which the reported facilities in Attachment A collectively source conflict minerals based on information provided by our suppliers and the RMI.</w:t>
      </w:r>
    </w:p>
    <w:p>
      <w:pPr>
        <w:spacing w:after="0" w:line="200" w:lineRule="exact"/>
        <w:rPr>
          <w:sz w:val="20"/>
          <w:szCs w:val="20"/>
          <w:color w:val="auto"/>
        </w:rPr>
      </w:pP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ANDORRA</w:t>
            </w:r>
          </w:p>
        </w:tc>
        <w:tc>
          <w:tcPr>
            <w:tcW w:w="2680" w:type="dxa"/>
            <w:vAlign w:val="bottom"/>
          </w:tcPr>
          <w:p>
            <w:pPr>
              <w:ind w:left="240"/>
              <w:spacing w:after="0"/>
              <w:rPr>
                <w:sz w:val="20"/>
                <w:szCs w:val="20"/>
                <w:color w:val="auto"/>
              </w:rPr>
            </w:pPr>
            <w:r>
              <w:rPr>
                <w:rFonts w:ascii="Arial" w:cs="Arial" w:eastAsia="Arial" w:hAnsi="Arial"/>
                <w:sz w:val="18"/>
                <w:szCs w:val="18"/>
                <w:color w:val="auto"/>
              </w:rPr>
              <w:t>GERMANY</w:t>
            </w:r>
          </w:p>
        </w:tc>
        <w:tc>
          <w:tcPr>
            <w:tcW w:w="2480" w:type="dxa"/>
            <w:vAlign w:val="bottom"/>
          </w:tcPr>
          <w:p>
            <w:pPr>
              <w:ind w:left="1100"/>
              <w:spacing w:after="0"/>
              <w:rPr>
                <w:sz w:val="20"/>
                <w:szCs w:val="20"/>
                <w:color w:val="auto"/>
              </w:rPr>
            </w:pPr>
            <w:r>
              <w:rPr>
                <w:rFonts w:ascii="Arial" w:cs="Arial" w:eastAsia="Arial" w:hAnsi="Arial"/>
                <w:sz w:val="18"/>
                <w:szCs w:val="18"/>
                <w:color w:val="auto"/>
              </w:rPr>
              <w:t>RWANDA</w:t>
            </w: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AUSTRALIA</w:t>
            </w:r>
          </w:p>
        </w:tc>
        <w:tc>
          <w:tcPr>
            <w:tcW w:w="2680" w:type="dxa"/>
            <w:vAlign w:val="bottom"/>
          </w:tcPr>
          <w:p>
            <w:pPr>
              <w:ind w:left="240"/>
              <w:spacing w:after="0"/>
              <w:rPr>
                <w:sz w:val="20"/>
                <w:szCs w:val="20"/>
                <w:color w:val="auto"/>
              </w:rPr>
            </w:pPr>
            <w:r>
              <w:rPr>
                <w:rFonts w:ascii="Arial" w:cs="Arial" w:eastAsia="Arial" w:hAnsi="Arial"/>
                <w:sz w:val="18"/>
                <w:szCs w:val="18"/>
                <w:color w:val="auto"/>
              </w:rPr>
              <w:t>INDIA</w:t>
            </w:r>
          </w:p>
        </w:tc>
        <w:tc>
          <w:tcPr>
            <w:tcW w:w="2480" w:type="dxa"/>
            <w:vAlign w:val="bottom"/>
          </w:tcPr>
          <w:p>
            <w:pPr>
              <w:ind w:left="1100"/>
              <w:spacing w:after="0"/>
              <w:rPr>
                <w:sz w:val="20"/>
                <w:szCs w:val="20"/>
                <w:color w:val="auto"/>
              </w:rPr>
            </w:pPr>
            <w:r>
              <w:rPr>
                <w:rFonts w:ascii="Arial" w:cs="Arial" w:eastAsia="Arial" w:hAnsi="Arial"/>
                <w:sz w:val="18"/>
                <w:szCs w:val="18"/>
                <w:color w:val="auto"/>
              </w:rPr>
              <w:t>SINGAPORE</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AUSTRIA</w:t>
            </w:r>
          </w:p>
        </w:tc>
        <w:tc>
          <w:tcPr>
            <w:tcW w:w="2680" w:type="dxa"/>
            <w:vAlign w:val="bottom"/>
          </w:tcPr>
          <w:p>
            <w:pPr>
              <w:ind w:left="240"/>
              <w:spacing w:after="0"/>
              <w:rPr>
                <w:sz w:val="20"/>
                <w:szCs w:val="20"/>
                <w:color w:val="auto"/>
              </w:rPr>
            </w:pPr>
            <w:r>
              <w:rPr>
                <w:rFonts w:ascii="Arial" w:cs="Arial" w:eastAsia="Arial" w:hAnsi="Arial"/>
                <w:sz w:val="18"/>
                <w:szCs w:val="18"/>
                <w:color w:val="auto"/>
              </w:rPr>
              <w:t>INDONESIA</w:t>
            </w:r>
          </w:p>
        </w:tc>
        <w:tc>
          <w:tcPr>
            <w:tcW w:w="2480" w:type="dxa"/>
            <w:vAlign w:val="bottom"/>
          </w:tcPr>
          <w:p>
            <w:pPr>
              <w:ind w:left="1100"/>
              <w:spacing w:after="0"/>
              <w:rPr>
                <w:sz w:val="20"/>
                <w:szCs w:val="20"/>
                <w:color w:val="auto"/>
              </w:rPr>
            </w:pPr>
            <w:r>
              <w:rPr>
                <w:rFonts w:ascii="Arial" w:cs="Arial" w:eastAsia="Arial" w:hAnsi="Arial"/>
                <w:sz w:val="18"/>
                <w:szCs w:val="18"/>
                <w:color w:val="auto"/>
              </w:rPr>
              <w:t>SOUTH AFRICA</w:t>
            </w: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BELGIUM</w:t>
            </w:r>
          </w:p>
        </w:tc>
        <w:tc>
          <w:tcPr>
            <w:tcW w:w="2680" w:type="dxa"/>
            <w:vAlign w:val="bottom"/>
          </w:tcPr>
          <w:p>
            <w:pPr>
              <w:ind w:left="240"/>
              <w:spacing w:after="0"/>
              <w:rPr>
                <w:sz w:val="20"/>
                <w:szCs w:val="20"/>
                <w:color w:val="auto"/>
              </w:rPr>
            </w:pPr>
            <w:r>
              <w:rPr>
                <w:rFonts w:ascii="Arial" w:cs="Arial" w:eastAsia="Arial" w:hAnsi="Arial"/>
                <w:sz w:val="18"/>
                <w:szCs w:val="18"/>
                <w:color w:val="auto"/>
              </w:rPr>
              <w:t>ITALY</w:t>
            </w:r>
          </w:p>
        </w:tc>
        <w:tc>
          <w:tcPr>
            <w:tcW w:w="2480" w:type="dxa"/>
            <w:vAlign w:val="bottom"/>
          </w:tcPr>
          <w:p>
            <w:pPr>
              <w:ind w:left="1100"/>
              <w:spacing w:after="0"/>
              <w:rPr>
                <w:sz w:val="20"/>
                <w:szCs w:val="20"/>
                <w:color w:val="auto"/>
              </w:rPr>
            </w:pPr>
            <w:r>
              <w:rPr>
                <w:rFonts w:ascii="Arial" w:cs="Arial" w:eastAsia="Arial" w:hAnsi="Arial"/>
                <w:sz w:val="18"/>
                <w:szCs w:val="18"/>
                <w:color w:val="auto"/>
              </w:rPr>
              <w:t>SPAIN</w:t>
            </w: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BOLIVIA</w:t>
            </w:r>
          </w:p>
        </w:tc>
        <w:tc>
          <w:tcPr>
            <w:tcW w:w="2680" w:type="dxa"/>
            <w:vAlign w:val="bottom"/>
          </w:tcPr>
          <w:p>
            <w:pPr>
              <w:ind w:left="240"/>
              <w:spacing w:after="0"/>
              <w:rPr>
                <w:sz w:val="20"/>
                <w:szCs w:val="20"/>
                <w:color w:val="auto"/>
              </w:rPr>
            </w:pPr>
            <w:r>
              <w:rPr>
                <w:rFonts w:ascii="Arial" w:cs="Arial" w:eastAsia="Arial" w:hAnsi="Arial"/>
                <w:sz w:val="18"/>
                <w:szCs w:val="18"/>
                <w:color w:val="auto"/>
              </w:rPr>
              <w:t>JAPAN</w:t>
            </w:r>
          </w:p>
        </w:tc>
        <w:tc>
          <w:tcPr>
            <w:tcW w:w="2480" w:type="dxa"/>
            <w:vAlign w:val="bottom"/>
          </w:tcPr>
          <w:p>
            <w:pPr>
              <w:ind w:left="1100"/>
              <w:spacing w:after="0"/>
              <w:rPr>
                <w:sz w:val="20"/>
                <w:szCs w:val="20"/>
                <w:color w:val="auto"/>
              </w:rPr>
            </w:pPr>
            <w:r>
              <w:rPr>
                <w:rFonts w:ascii="Arial" w:cs="Arial" w:eastAsia="Arial" w:hAnsi="Arial"/>
                <w:sz w:val="18"/>
                <w:szCs w:val="18"/>
                <w:color w:val="auto"/>
              </w:rPr>
              <w:t>SWEDEN</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BRAZIL</w:t>
            </w:r>
          </w:p>
        </w:tc>
        <w:tc>
          <w:tcPr>
            <w:tcW w:w="2680" w:type="dxa"/>
            <w:vAlign w:val="bottom"/>
          </w:tcPr>
          <w:p>
            <w:pPr>
              <w:ind w:left="240"/>
              <w:spacing w:after="0"/>
              <w:rPr>
                <w:sz w:val="20"/>
                <w:szCs w:val="20"/>
                <w:color w:val="auto"/>
              </w:rPr>
            </w:pPr>
            <w:r>
              <w:rPr>
                <w:rFonts w:ascii="Arial" w:cs="Arial" w:eastAsia="Arial" w:hAnsi="Arial"/>
                <w:sz w:val="18"/>
                <w:szCs w:val="18"/>
                <w:color w:val="auto"/>
              </w:rPr>
              <w:t>KAZAKHSTAN</w:t>
            </w:r>
          </w:p>
        </w:tc>
        <w:tc>
          <w:tcPr>
            <w:tcW w:w="2480" w:type="dxa"/>
            <w:vAlign w:val="bottom"/>
          </w:tcPr>
          <w:p>
            <w:pPr>
              <w:ind w:left="1100"/>
              <w:spacing w:after="0"/>
              <w:rPr>
                <w:sz w:val="20"/>
                <w:szCs w:val="20"/>
                <w:color w:val="auto"/>
              </w:rPr>
            </w:pPr>
            <w:r>
              <w:rPr>
                <w:rFonts w:ascii="Arial" w:cs="Arial" w:eastAsia="Arial" w:hAnsi="Arial"/>
                <w:sz w:val="18"/>
                <w:szCs w:val="18"/>
                <w:color w:val="auto"/>
              </w:rPr>
              <w:t>SWITZERLAND</w:t>
            </w: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CANADA</w:t>
            </w:r>
          </w:p>
        </w:tc>
        <w:tc>
          <w:tcPr>
            <w:tcW w:w="2680" w:type="dxa"/>
            <w:vAlign w:val="bottom"/>
          </w:tcPr>
          <w:p>
            <w:pPr>
              <w:ind w:left="240"/>
              <w:spacing w:after="0"/>
              <w:rPr>
                <w:sz w:val="20"/>
                <w:szCs w:val="20"/>
                <w:color w:val="auto"/>
              </w:rPr>
            </w:pPr>
            <w:r>
              <w:rPr>
                <w:rFonts w:ascii="Arial" w:cs="Arial" w:eastAsia="Arial" w:hAnsi="Arial"/>
                <w:sz w:val="18"/>
                <w:szCs w:val="18"/>
                <w:color w:val="auto"/>
              </w:rPr>
              <w:t>KOREA</w:t>
            </w:r>
          </w:p>
        </w:tc>
        <w:tc>
          <w:tcPr>
            <w:tcW w:w="2480" w:type="dxa"/>
            <w:vAlign w:val="bottom"/>
          </w:tcPr>
          <w:p>
            <w:pPr>
              <w:ind w:left="1100"/>
              <w:spacing w:after="0"/>
              <w:rPr>
                <w:sz w:val="20"/>
                <w:szCs w:val="20"/>
                <w:color w:val="auto"/>
              </w:rPr>
            </w:pPr>
            <w:r>
              <w:rPr>
                <w:rFonts w:ascii="Arial" w:cs="Arial" w:eastAsia="Arial" w:hAnsi="Arial"/>
                <w:sz w:val="18"/>
                <w:szCs w:val="18"/>
                <w:color w:val="auto"/>
              </w:rPr>
              <w:t>TAIWAN</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CHILE</w:t>
            </w:r>
          </w:p>
        </w:tc>
        <w:tc>
          <w:tcPr>
            <w:tcW w:w="2680" w:type="dxa"/>
            <w:vAlign w:val="bottom"/>
          </w:tcPr>
          <w:p>
            <w:pPr>
              <w:ind w:left="240"/>
              <w:spacing w:after="0"/>
              <w:rPr>
                <w:sz w:val="20"/>
                <w:szCs w:val="20"/>
                <w:color w:val="auto"/>
              </w:rPr>
            </w:pPr>
            <w:r>
              <w:rPr>
                <w:rFonts w:ascii="Arial" w:cs="Arial" w:eastAsia="Arial" w:hAnsi="Arial"/>
                <w:sz w:val="18"/>
                <w:szCs w:val="18"/>
                <w:color w:val="auto"/>
              </w:rPr>
              <w:t>MALAYSIA</w:t>
            </w:r>
          </w:p>
        </w:tc>
        <w:tc>
          <w:tcPr>
            <w:tcW w:w="2480" w:type="dxa"/>
            <w:vAlign w:val="bottom"/>
          </w:tcPr>
          <w:p>
            <w:pPr>
              <w:ind w:left="1100"/>
              <w:spacing w:after="0"/>
              <w:rPr>
                <w:sz w:val="20"/>
                <w:szCs w:val="20"/>
                <w:color w:val="auto"/>
              </w:rPr>
            </w:pPr>
            <w:r>
              <w:rPr>
                <w:rFonts w:ascii="Arial" w:cs="Arial" w:eastAsia="Arial" w:hAnsi="Arial"/>
                <w:sz w:val="18"/>
                <w:szCs w:val="18"/>
                <w:color w:val="auto"/>
              </w:rPr>
              <w:t>TANZANIA</w:t>
            </w: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CHINA</w:t>
            </w:r>
          </w:p>
        </w:tc>
        <w:tc>
          <w:tcPr>
            <w:tcW w:w="2680" w:type="dxa"/>
            <w:vAlign w:val="bottom"/>
          </w:tcPr>
          <w:p>
            <w:pPr>
              <w:ind w:left="240"/>
              <w:spacing w:after="0"/>
              <w:rPr>
                <w:sz w:val="20"/>
                <w:szCs w:val="20"/>
                <w:color w:val="auto"/>
              </w:rPr>
            </w:pPr>
            <w:r>
              <w:rPr>
                <w:rFonts w:ascii="Arial" w:cs="Arial" w:eastAsia="Arial" w:hAnsi="Arial"/>
                <w:sz w:val="18"/>
                <w:szCs w:val="18"/>
                <w:color w:val="auto"/>
              </w:rPr>
              <w:t>MEXICO</w:t>
            </w:r>
          </w:p>
        </w:tc>
        <w:tc>
          <w:tcPr>
            <w:tcW w:w="2480" w:type="dxa"/>
            <w:vAlign w:val="bottom"/>
          </w:tcPr>
          <w:p>
            <w:pPr>
              <w:ind w:left="1100"/>
              <w:spacing w:after="0"/>
              <w:rPr>
                <w:sz w:val="20"/>
                <w:szCs w:val="20"/>
                <w:color w:val="auto"/>
              </w:rPr>
            </w:pPr>
            <w:r>
              <w:rPr>
                <w:rFonts w:ascii="Arial" w:cs="Arial" w:eastAsia="Arial" w:hAnsi="Arial"/>
                <w:sz w:val="18"/>
                <w:szCs w:val="18"/>
                <w:color w:val="auto"/>
              </w:rPr>
              <w:t>THAILAND</w:t>
            </w: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COLOMBIA</w:t>
            </w:r>
          </w:p>
        </w:tc>
        <w:tc>
          <w:tcPr>
            <w:tcW w:w="2680" w:type="dxa"/>
            <w:vAlign w:val="bottom"/>
          </w:tcPr>
          <w:p>
            <w:pPr>
              <w:ind w:left="240"/>
              <w:spacing w:after="0"/>
              <w:rPr>
                <w:sz w:val="20"/>
                <w:szCs w:val="20"/>
                <w:color w:val="auto"/>
              </w:rPr>
            </w:pPr>
            <w:r>
              <w:rPr>
                <w:rFonts w:ascii="Arial" w:cs="Arial" w:eastAsia="Arial" w:hAnsi="Arial"/>
                <w:sz w:val="18"/>
                <w:szCs w:val="18"/>
                <w:color w:val="auto"/>
              </w:rPr>
              <w:t>MYANMAR</w:t>
            </w:r>
          </w:p>
        </w:tc>
        <w:tc>
          <w:tcPr>
            <w:tcW w:w="2480" w:type="dxa"/>
            <w:vAlign w:val="bottom"/>
          </w:tcPr>
          <w:p>
            <w:pPr>
              <w:ind w:left="1100"/>
              <w:spacing w:after="0"/>
              <w:rPr>
                <w:sz w:val="20"/>
                <w:szCs w:val="20"/>
                <w:color w:val="auto"/>
              </w:rPr>
            </w:pPr>
            <w:r>
              <w:rPr>
                <w:rFonts w:ascii="Arial" w:cs="Arial" w:eastAsia="Arial" w:hAnsi="Arial"/>
                <w:sz w:val="18"/>
                <w:szCs w:val="18"/>
                <w:color w:val="auto"/>
              </w:rPr>
              <w:t>TURKEY</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DEMOCRATIC REPUBLIC OF THE CONGO</w:t>
            </w:r>
          </w:p>
        </w:tc>
        <w:tc>
          <w:tcPr>
            <w:tcW w:w="2680" w:type="dxa"/>
            <w:vAlign w:val="bottom"/>
          </w:tcPr>
          <w:p>
            <w:pPr>
              <w:ind w:left="240"/>
              <w:spacing w:after="0"/>
              <w:rPr>
                <w:sz w:val="20"/>
                <w:szCs w:val="20"/>
                <w:color w:val="auto"/>
              </w:rPr>
            </w:pPr>
            <w:r>
              <w:rPr>
                <w:rFonts w:ascii="Arial" w:cs="Arial" w:eastAsia="Arial" w:hAnsi="Arial"/>
                <w:sz w:val="18"/>
                <w:szCs w:val="18"/>
                <w:color w:val="auto"/>
              </w:rPr>
              <w:t>NETHERLANDS</w:t>
            </w:r>
          </w:p>
        </w:tc>
        <w:tc>
          <w:tcPr>
            <w:tcW w:w="2480" w:type="dxa"/>
            <w:vAlign w:val="bottom"/>
          </w:tcPr>
          <w:p>
            <w:pPr>
              <w:ind w:left="1100"/>
              <w:spacing w:after="0"/>
              <w:rPr>
                <w:sz w:val="20"/>
                <w:szCs w:val="20"/>
                <w:color w:val="auto"/>
              </w:rPr>
            </w:pPr>
            <w:r>
              <w:rPr>
                <w:rFonts w:ascii="Arial" w:cs="Arial" w:eastAsia="Arial" w:hAnsi="Arial"/>
                <w:sz w:val="18"/>
                <w:szCs w:val="18"/>
                <w:color w:val="auto"/>
              </w:rPr>
              <w:t>UGANDA</w:t>
            </w: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CZECHIA</w:t>
            </w:r>
          </w:p>
        </w:tc>
        <w:tc>
          <w:tcPr>
            <w:tcW w:w="2680" w:type="dxa"/>
            <w:vAlign w:val="bottom"/>
          </w:tcPr>
          <w:p>
            <w:pPr>
              <w:ind w:left="240"/>
              <w:spacing w:after="0"/>
              <w:rPr>
                <w:sz w:val="20"/>
                <w:szCs w:val="20"/>
                <w:color w:val="auto"/>
              </w:rPr>
            </w:pPr>
            <w:r>
              <w:rPr>
                <w:rFonts w:ascii="Arial" w:cs="Arial" w:eastAsia="Arial" w:hAnsi="Arial"/>
                <w:sz w:val="18"/>
                <w:szCs w:val="18"/>
                <w:color w:val="auto"/>
              </w:rPr>
              <w:t>PERU</w:t>
            </w:r>
          </w:p>
        </w:tc>
        <w:tc>
          <w:tcPr>
            <w:tcW w:w="2480" w:type="dxa"/>
            <w:vAlign w:val="bottom"/>
          </w:tcPr>
          <w:p>
            <w:pPr>
              <w:ind w:left="1100"/>
              <w:spacing w:after="0"/>
              <w:rPr>
                <w:sz w:val="20"/>
                <w:szCs w:val="20"/>
                <w:color w:val="auto"/>
              </w:rPr>
            </w:pPr>
            <w:r>
              <w:rPr>
                <w:rFonts w:ascii="Arial" w:cs="Arial" w:eastAsia="Arial" w:hAnsi="Arial"/>
                <w:sz w:val="18"/>
                <w:szCs w:val="18"/>
                <w:color w:val="auto"/>
                <w:w w:val="95"/>
              </w:rPr>
              <w:t>UNITED STATES</w:t>
            </w: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ESTONIA</w:t>
            </w:r>
          </w:p>
        </w:tc>
        <w:tc>
          <w:tcPr>
            <w:tcW w:w="2680" w:type="dxa"/>
            <w:vAlign w:val="bottom"/>
          </w:tcPr>
          <w:p>
            <w:pPr>
              <w:ind w:left="240"/>
              <w:spacing w:after="0"/>
              <w:rPr>
                <w:sz w:val="20"/>
                <w:szCs w:val="20"/>
                <w:color w:val="auto"/>
              </w:rPr>
            </w:pPr>
            <w:r>
              <w:rPr>
                <w:rFonts w:ascii="Arial" w:cs="Arial" w:eastAsia="Arial" w:hAnsi="Arial"/>
                <w:sz w:val="18"/>
                <w:szCs w:val="18"/>
                <w:color w:val="auto"/>
              </w:rPr>
              <w:t>PHILIPPINES</w:t>
            </w:r>
          </w:p>
        </w:tc>
        <w:tc>
          <w:tcPr>
            <w:tcW w:w="2480" w:type="dxa"/>
            <w:vAlign w:val="bottom"/>
          </w:tcPr>
          <w:p>
            <w:pPr>
              <w:ind w:left="1100"/>
              <w:spacing w:after="0"/>
              <w:rPr>
                <w:sz w:val="20"/>
                <w:szCs w:val="20"/>
                <w:color w:val="auto"/>
              </w:rPr>
            </w:pPr>
            <w:r>
              <w:rPr>
                <w:rFonts w:ascii="Arial" w:cs="Arial" w:eastAsia="Arial" w:hAnsi="Arial"/>
                <w:sz w:val="18"/>
                <w:szCs w:val="18"/>
                <w:color w:val="auto"/>
              </w:rPr>
              <w:t>UZBEKISTAN</w:t>
            </w:r>
          </w:p>
        </w:tc>
      </w:tr>
      <w:tr>
        <w:trPr>
          <w:trHeight w:val="239"/>
        </w:trPr>
        <w:tc>
          <w:tcPr>
            <w:tcW w:w="3820" w:type="dxa"/>
            <w:vAlign w:val="bottom"/>
          </w:tcPr>
          <w:p>
            <w:pPr>
              <w:spacing w:after="0"/>
              <w:rPr>
                <w:sz w:val="20"/>
                <w:szCs w:val="20"/>
                <w:color w:val="auto"/>
              </w:rPr>
            </w:pPr>
            <w:r>
              <w:rPr>
                <w:rFonts w:ascii="Arial" w:cs="Arial" w:eastAsia="Arial" w:hAnsi="Arial"/>
                <w:sz w:val="18"/>
                <w:szCs w:val="18"/>
                <w:color w:val="auto"/>
              </w:rPr>
              <w:t>FRANCE</w:t>
            </w:r>
          </w:p>
        </w:tc>
        <w:tc>
          <w:tcPr>
            <w:tcW w:w="2680" w:type="dxa"/>
            <w:vAlign w:val="bottom"/>
          </w:tcPr>
          <w:p>
            <w:pPr>
              <w:ind w:left="240"/>
              <w:spacing w:after="0"/>
              <w:rPr>
                <w:sz w:val="20"/>
                <w:szCs w:val="20"/>
                <w:color w:val="auto"/>
              </w:rPr>
            </w:pPr>
            <w:r>
              <w:rPr>
                <w:rFonts w:ascii="Arial" w:cs="Arial" w:eastAsia="Arial" w:hAnsi="Arial"/>
                <w:sz w:val="18"/>
                <w:szCs w:val="18"/>
                <w:color w:val="auto"/>
              </w:rPr>
              <w:t>POLAND</w:t>
            </w:r>
          </w:p>
        </w:tc>
        <w:tc>
          <w:tcPr>
            <w:tcW w:w="2480" w:type="dxa"/>
            <w:vAlign w:val="bottom"/>
          </w:tcPr>
          <w:p>
            <w:pPr>
              <w:ind w:left="1100"/>
              <w:spacing w:after="0"/>
              <w:rPr>
                <w:sz w:val="20"/>
                <w:szCs w:val="20"/>
                <w:color w:val="auto"/>
              </w:rPr>
            </w:pPr>
            <w:r>
              <w:rPr>
                <w:rFonts w:ascii="Arial" w:cs="Arial" w:eastAsia="Arial" w:hAnsi="Arial"/>
                <w:sz w:val="18"/>
                <w:szCs w:val="18"/>
                <w:color w:val="auto"/>
              </w:rPr>
              <w:t>VIETNAM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11</w:t>
      </w:r>
    </w:p>
    <w:sectPr>
      <w:pgSz w:w="11900" w:h="16838" w:orient="portrait"/>
      <w:cols w:equalWidth="0" w:num="1">
        <w:col w:w="10780"/>
      </w:cols>
      <w:pgMar w:left="320" w:top="1214"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amp;"/>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2026-05-22T16:36:51Z</dcterms:created>
  <dcterms:modified xsi:type="dcterms:W3CDTF">2026-05-22T16:36:51Z</dcterms:modified>
</cp:coreProperties>
</file>