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64.jpeg" ContentType="image/jpeg"/>
  <Override PartName="/word/media/image7.jpeg" ContentType="image/jpeg"/>
  <Override PartName="/word/media/image38.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media/image88.jpeg" ContentType="image/jpeg"/>
  <Override PartName="/word/media/image12.jpeg" ContentType="image/jpeg"/>
  <Override PartName="/word/media/image29.jpeg" ContentType="image/jpeg"/>
  <Override PartName="/word/media/image52.jpeg" ContentType="image/jpeg"/>
  <Override PartName="/word/media/image10.jpeg" ContentType="image/jpeg"/>
  <Override PartName="/word/media/image27.jpeg" ContentType="image/jpeg"/>
  <Override PartName="/word/media/image8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0" w:after="120"/>
        <w:jc w:val="left"/>
        <w:rPr/>
      </w:pPr>
      <w:r>
        <w:rPr/>
      </w:r>
    </w:p>
    <w:p>
      <w:pPr>
        <w:pStyle w:val="TextBody"/>
        <w:bidi w:val="0"/>
        <w:spacing w:lineRule="auto" w:line="312" w:before="120" w:after="120"/>
        <w:jc w:val="center"/>
        <w:rPr>
          <w:rFonts w:ascii="Lato;sans-serif" w:hAnsi="Lato;sans-serif"/>
          <w:b/>
          <w:color w:val="000000"/>
          <w:sz w:val="36"/>
        </w:rPr>
      </w:pPr>
      <w:r>
        <w:rPr>
          <w:rFonts w:ascii="Lato;sans-serif" w:hAnsi="Lato;sans-serif"/>
          <w:b/>
          <w:color w:val="000000"/>
          <w:sz w:val="36"/>
        </w:rPr>
        <w:t>UNITED STATES</w:t>
      </w:r>
    </w:p>
    <w:p>
      <w:pPr>
        <w:pStyle w:val="TextBody"/>
        <w:bidi w:val="0"/>
        <w:spacing w:lineRule="auto" w:line="312" w:before="120" w:after="120"/>
        <w:jc w:val="center"/>
        <w:rPr>
          <w:rFonts w:ascii="Lato;sans-serif" w:hAnsi="Lato;sans-serif"/>
          <w:b/>
          <w:color w:val="000000"/>
          <w:sz w:val="36"/>
        </w:rPr>
      </w:pPr>
      <w:r>
        <w:rPr>
          <w:rFonts w:ascii="Lato;sans-serif" w:hAnsi="Lato;sans-serif"/>
          <w:b/>
          <w:color w:val="000000"/>
          <w:sz w:val="36"/>
        </w:rPr>
        <w:t>SECURITIES AND EXCHANGE COMMISSION</w:t>
      </w:r>
    </w:p>
    <w:p>
      <w:pPr>
        <w:pStyle w:val="TextBody"/>
        <w:bidi w:val="0"/>
        <w:spacing w:lineRule="auto" w:line="312" w:before="120" w:after="120"/>
        <w:jc w:val="center"/>
        <w:rPr>
          <w:rFonts w:ascii="Lato;sans-serif" w:hAnsi="Lato;sans-serif"/>
          <w:b/>
          <w:color w:val="000000"/>
          <w:sz w:val="24"/>
        </w:rPr>
      </w:pPr>
      <w:r>
        <w:rPr>
          <w:rFonts w:ascii="Lato;sans-serif" w:hAnsi="Lato;sans-serif"/>
          <w:b/>
          <w:color w:val="000000"/>
          <w:sz w:val="24"/>
        </w:rPr>
        <w:t>Washington, D.C. 20549</w:t>
      </w:r>
    </w:p>
    <w:p>
      <w:pPr>
        <w:pStyle w:val="TextBody"/>
        <w:bidi w:val="0"/>
        <w:spacing w:lineRule="auto" w:line="312" w:before="280" w:after="120"/>
        <w:jc w:val="center"/>
        <w:rPr>
          <w:rFonts w:ascii="Lato;sans-serif" w:hAnsi="Lato;sans-serif"/>
          <w:b/>
          <w:color w:val="000000"/>
          <w:sz w:val="28"/>
        </w:rPr>
      </w:pPr>
      <w:r>
        <w:rPr>
          <w:rFonts w:ascii="Lato;sans-serif" w:hAnsi="Lato;sans-serif"/>
          <w:b/>
          <w:color w:val="000000"/>
          <w:sz w:val="28"/>
        </w:rPr>
        <w:t>SCHEDULE 14A</w:t>
      </w:r>
    </w:p>
    <w:p>
      <w:pPr>
        <w:pStyle w:val="TextBody"/>
        <w:bidi w:val="0"/>
        <w:spacing w:lineRule="auto" w:line="312" w:before="180" w:after="120"/>
        <w:jc w:val="center"/>
        <w:rPr>
          <w:rFonts w:ascii="Lato;sans-serif" w:hAnsi="Lato;sans-serif"/>
          <w:b/>
          <w:color w:val="000000"/>
          <w:sz w:val="24"/>
        </w:rPr>
      </w:pPr>
      <w:r>
        <w:rPr>
          <w:rFonts w:ascii="Lato;sans-serif" w:hAnsi="Lato;sans-serif"/>
          <w:b/>
          <w:color w:val="000000"/>
          <w:sz w:val="24"/>
        </w:rPr>
        <w:t>Proxy Statement Pursuant to Section 14(a) of</w:t>
      </w:r>
    </w:p>
    <w:p>
      <w:pPr>
        <w:pStyle w:val="TextBody"/>
        <w:bidi w:val="0"/>
        <w:spacing w:lineRule="auto" w:line="312" w:before="120" w:after="120"/>
        <w:jc w:val="center"/>
        <w:rPr>
          <w:rFonts w:ascii="Lato;sans-serif" w:hAnsi="Lato;sans-serif"/>
          <w:b/>
          <w:color w:val="000000"/>
          <w:sz w:val="24"/>
        </w:rPr>
      </w:pPr>
      <w:r>
        <w:rPr>
          <w:rFonts w:ascii="Lato;sans-serif" w:hAnsi="Lato;sans-serif"/>
          <w:b/>
          <w:color w:val="000000"/>
          <w:sz w:val="24"/>
        </w:rPr>
        <w:t>the Securities Exchange Act of 1934 (Amendment No.     )</w:t>
      </w:r>
    </w:p>
    <w:p>
      <w:pPr>
        <w:pStyle w:val="TextBody"/>
        <w:bidi w:val="0"/>
        <w:spacing w:lineRule="auto" w:line="312" w:before="100" w:after="120"/>
        <w:jc w:val="left"/>
        <w:rPr/>
      </w:pPr>
      <w:r>
        <w:rPr>
          <w:rFonts w:ascii="Lato;sans-serif" w:hAnsi="Lato;sans-serif"/>
          <w:b w:val="false"/>
          <w:color w:val="000000"/>
          <w:sz w:val="19"/>
        </w:rPr>
        <w:t>Filed by the Registrant    </w:t>
      </w:r>
      <w:r>
        <w:rPr>
          <w:color w:val="000000"/>
        </w:rPr>
        <w:t xml:space="preserve">☑                              </w:t>
      </w:r>
      <w:r>
        <w:rPr>
          <w:rFonts w:ascii="Lato;sans-serif" w:hAnsi="Lato;sans-serif"/>
          <w:b w:val="false"/>
          <w:color w:val="000000"/>
          <w:sz w:val="19"/>
        </w:rPr>
        <w:t>Filed by a Party other than the Registrant    </w:t>
      </w:r>
      <w:r>
        <w:rPr>
          <w:color w:val="000000"/>
        </w:rPr>
        <w:t>☐</w:t>
      </w:r>
    </w:p>
    <w:p>
      <w:pPr>
        <w:pStyle w:val="TextBody"/>
        <w:bidi w:val="0"/>
        <w:spacing w:lineRule="auto" w:line="312" w:before="100" w:after="120"/>
        <w:jc w:val="left"/>
        <w:rPr>
          <w:rFonts w:ascii="Lato;sans-serif" w:hAnsi="Lato;sans-serif"/>
          <w:b w:val="false"/>
          <w:color w:val="000000"/>
          <w:sz w:val="19"/>
        </w:rPr>
      </w:pPr>
      <w:r>
        <w:rPr>
          <w:rFonts w:ascii="Lato;sans-serif" w:hAnsi="Lato;sans-serif"/>
          <w:b w:val="false"/>
          <w:color w:val="000000"/>
          <w:sz w:val="19"/>
        </w:rPr>
        <w:t>Check the appropriate box:</w:t>
      </w:r>
    </w:p>
    <w:tbl>
      <w:tblPr>
        <w:tblW w:w="96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49"/>
        <w:gridCol w:w="2049"/>
        <w:gridCol w:w="2054"/>
        <w:gridCol w:w="229"/>
        <w:gridCol w:w="229"/>
        <w:gridCol w:w="229"/>
        <w:gridCol w:w="229"/>
        <w:gridCol w:w="229"/>
        <w:gridCol w:w="229"/>
        <w:gridCol w:w="229"/>
        <w:gridCol w:w="229"/>
        <w:gridCol w:w="229"/>
        <w:gridCol w:w="229"/>
        <w:gridCol w:w="229"/>
        <w:gridCol w:w="3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615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Preliminary Proxy Statement</w:t>
            </w:r>
          </w:p>
        </w:tc>
        <w:tc>
          <w:tcPr>
            <w:tcW w:w="68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8995" w:type="dxa"/>
            <w:gridSpan w:val="15"/>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0000"/>
                <w:sz w:val="19"/>
              </w:rPr>
            </w:pPr>
            <w:r>
              <w:rPr>
                <w:rFonts w:ascii="Lato;sans-serif" w:hAnsi="Lato;sans-serif"/>
                <w:b/>
                <w:color w:val="000000"/>
                <w:sz w:val="19"/>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615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Definitive Proxy Statement</w:t>
            </w:r>
          </w:p>
        </w:tc>
        <w:tc>
          <w:tcPr>
            <w:tcW w:w="68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615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Definitive Additional Materials</w:t>
            </w:r>
          </w:p>
        </w:tc>
        <w:tc>
          <w:tcPr>
            <w:tcW w:w="68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615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Soliciting Material Pursuant to §240.14a-12</w:t>
            </w:r>
          </w:p>
        </w:tc>
        <w:tc>
          <w:tcPr>
            <w:tcW w:w="68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center"/>
        <w:rPr>
          <w:rFonts w:ascii="Lato;sans-serif" w:hAnsi="Lato;sans-serif"/>
          <w:b/>
          <w:color w:val="000000"/>
          <w:sz w:val="48"/>
        </w:rPr>
      </w:pPr>
      <w:r>
        <w:rPr>
          <w:rFonts w:ascii="Lato;sans-serif" w:hAnsi="Lato;sans-serif"/>
          <w:b/>
          <w:color w:val="000000"/>
          <w:sz w:val="48"/>
        </w:rPr>
        <w:t>Kimberly-Clark Corporation</w:t>
      </w:r>
    </w:p>
    <w:p>
      <w:pPr>
        <w:pStyle w:val="TextBody"/>
        <w:bidi w:val="0"/>
        <w:spacing w:lineRule="auto" w:line="312" w:before="120" w:after="40"/>
        <w:jc w:val="left"/>
        <w:rPr>
          <w:color w:val="000000"/>
        </w:rPr>
      </w:pPr>
      <w:r>
        <w:rPr>
          <w:color w:val="000000"/>
        </w:rPr>
        <w:t> </w:t>
      </w:r>
    </w:p>
    <w:p>
      <w:pPr>
        <w:pStyle w:val="TextBody"/>
        <w:bidi w:val="0"/>
        <w:spacing w:lineRule="auto" w:line="312" w:before="120" w:after="120"/>
        <w:jc w:val="center"/>
        <w:rPr>
          <w:rFonts w:ascii="Lato;sans-serif" w:hAnsi="Lato;sans-serif"/>
          <w:b w:val="false"/>
          <w:color w:val="000000"/>
          <w:sz w:val="19"/>
        </w:rPr>
      </w:pPr>
      <w:r>
        <w:rPr>
          <w:rFonts w:ascii="Lato;sans-serif" w:hAnsi="Lato;sans-serif"/>
          <w:b w:val="false"/>
          <w:color w:val="000000"/>
          <w:sz w:val="19"/>
        </w:rPr>
        <w:t>(Name of Registrant as Specified In Its Charter)</w:t>
      </w:r>
    </w:p>
    <w:p>
      <w:pPr>
        <w:pStyle w:val="TextBody"/>
        <w:bidi w:val="0"/>
        <w:spacing w:lineRule="auto" w:line="312" w:before="120" w:after="120"/>
        <w:jc w:val="center"/>
        <w:rPr>
          <w:color w:val="000000"/>
        </w:rPr>
      </w:pPr>
      <w:r>
        <w:rPr>
          <w:color w:val="000000"/>
        </w:rPr>
        <w:t>  </w:t>
      </w:r>
    </w:p>
    <w:p>
      <w:pPr>
        <w:pStyle w:val="TextBody"/>
        <w:bidi w:val="0"/>
        <w:spacing w:lineRule="auto" w:line="312" w:before="120" w:after="40"/>
        <w:jc w:val="left"/>
        <w:rPr>
          <w:color w:val="000000"/>
        </w:rPr>
      </w:pPr>
      <w:r>
        <w:rPr>
          <w:color w:val="000000"/>
        </w:rPr>
        <w:t> </w:t>
      </w:r>
    </w:p>
    <w:p>
      <w:pPr>
        <w:pStyle w:val="TextBody"/>
        <w:bidi w:val="0"/>
        <w:spacing w:lineRule="auto" w:line="312" w:before="120" w:after="120"/>
        <w:jc w:val="center"/>
        <w:rPr>
          <w:rFonts w:ascii="Lato;sans-serif" w:hAnsi="Lato;sans-serif"/>
          <w:b w:val="false"/>
          <w:color w:val="000000"/>
          <w:sz w:val="19"/>
        </w:rPr>
      </w:pPr>
      <w:r>
        <w:rPr>
          <w:rFonts w:ascii="Lato;sans-serif" w:hAnsi="Lato;sans-serif"/>
          <w:b w:val="false"/>
          <w:color w:val="000000"/>
          <w:sz w:val="19"/>
        </w:rPr>
        <w:t>(Name of Person(s) Filing Proxy Statement, if other than the Registrant)</w:t>
      </w:r>
    </w:p>
    <w:p>
      <w:pPr>
        <w:pStyle w:val="TextBody"/>
        <w:bidi w:val="0"/>
        <w:spacing w:lineRule="auto" w:line="312" w:before="100" w:after="120"/>
        <w:jc w:val="left"/>
        <w:rPr>
          <w:rFonts w:ascii="Lato;sans-serif" w:hAnsi="Lato;sans-serif"/>
          <w:b w:val="false"/>
          <w:color w:val="000000"/>
          <w:sz w:val="19"/>
        </w:rPr>
      </w:pPr>
      <w:r>
        <w:rPr>
          <w:rFonts w:ascii="Lato;sans-serif" w:hAnsi="Lato;sans-serif"/>
          <w:b w:val="false"/>
          <w:color w:val="000000"/>
          <w:sz w:val="19"/>
        </w:rPr>
        <w:t>Payment of Filing Fee (Check all boxes that apply):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48"/>
        <w:gridCol w:w="1048"/>
        <w:gridCol w:w="1048"/>
        <w:gridCol w:w="1047"/>
        <w:gridCol w:w="1046"/>
        <w:gridCol w:w="1046"/>
        <w:gridCol w:w="1046"/>
        <w:gridCol w:w="1046"/>
        <w:gridCol w:w="14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9863"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9863"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9863" w:type="dxa"/>
            <w:gridSpan w:val="9"/>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center"/>
        <w:rPr/>
      </w:pPr>
      <w:r>
        <w:rPr/>
        <w:drawing>
          <wp:inline distT="0" distB="0" distL="0" distR="0">
            <wp:extent cx="7543800" cy="9829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480" w:after="120"/>
        <w:jc w:val="center"/>
        <w:rPr/>
      </w:pPr>
      <w:r>
        <w:rPr/>
        <w:drawing>
          <wp:inline distT="0" distB="0" distL="0" distR="0">
            <wp:extent cx="4410075" cy="27432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4410075" cy="2743200"/>
                    </a:xfrm>
                    <a:prstGeom prst="rect">
                      <a:avLst/>
                    </a:prstGeom>
                  </pic:spPr>
                </pic:pic>
              </a:graphicData>
            </a:graphic>
          </wp:inline>
        </w:drawing>
      </w:r>
    </w:p>
    <w:p>
      <w:pPr>
        <w:pStyle w:val="TextBody"/>
        <w:bidi w:val="0"/>
        <w:spacing w:lineRule="auto" w:line="288" w:before="120" w:after="120"/>
        <w:jc w:val="left"/>
        <w:rPr>
          <w:rFonts w:ascii="Lato;sans-serif" w:hAnsi="Lato;sans-serif"/>
          <w:b w:val="false"/>
          <w:color w:val="0046C8"/>
          <w:sz w:val="48"/>
        </w:rPr>
      </w:pPr>
      <w:r>
        <w:rPr>
          <w:rFonts w:ascii="Lato;sans-serif" w:hAnsi="Lato;sans-serif"/>
          <w:b w:val="false"/>
          <w:color w:val="0046C8"/>
          <w:sz w:val="48"/>
        </w:rPr>
        <w:t>Company Overview</w:t>
      </w:r>
    </w:p>
    <w:tbl>
      <w:tblPr>
        <w:tblW w:w="10205" w:type="dxa"/>
        <w:jc w:val="left"/>
        <w:tblInd w:w="0" w:type="dxa"/>
        <w:tblLayout w:type="fixed"/>
        <w:tblCellMar>
          <w:top w:w="28" w:type="dxa"/>
          <w:left w:w="28" w:type="dxa"/>
          <w:bottom w:w="28" w:type="dxa"/>
          <w:right w:w="28" w:type="dxa"/>
        </w:tblCellMar>
      </w:tblPr>
      <w:tblGrid>
        <w:gridCol w:w="2357"/>
        <w:gridCol w:w="2071"/>
        <w:gridCol w:w="2075"/>
        <w:gridCol w:w="1084"/>
        <w:gridCol w:w="1084"/>
        <w:gridCol w:w="1534"/>
      </w:tblGrid>
      <w:tr>
        <w:trPr/>
        <w:tc>
          <w:tcPr>
            <w:tcW w:w="2357"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6503"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Kimberly-Clark (NYSE: KMB) and its trusted brands are an indispensable part of life for people in more than 175 countries and territories. We are headquartered in Dallas, Texas with approximately 38,000 employees worldwide and manufacturing facilities in 30 countries. Fueled by ingenuity, creativity, and an understanding of people’s most essential needs, we create products that help individuals experience more of what’s important to them.</w:t>
            </w:r>
          </w:p>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Our portfolio of brands includes Huggies, Kleenex, Scott, Kotex, Cottonelle, Poise, Depend, Andrex, Pull-Ups, GoodNites, Intimus, Plenitud, Sweety, Softex, Viva and WypAll. In 2024, we generated net sales of $20.1 billion with approximately 55 percent of net sales in North America and approximately 45 percent in international markets. </w:t>
            </w:r>
          </w:p>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During 2024, we announced our 2024 transformation initiative in order to create a more agile and focused operating structure that will accelerate our proprietary pipeline of innovation in right-to-win spaces and improve our growth trajectory, profitability, and returns on investment. As part of this transformation, we realigned our internal operating and management structure. We now have three reportable business segments - North America, International Personal Care and International Family Care and Professional – as shown below, with 2024 net sales for each segment.</w:t>
            </w:r>
          </w:p>
        </w:tc>
        <w:tc>
          <w:tcPr>
            <w:tcW w:w="3702"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266950" cy="19431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266950" cy="1943100"/>
                          </a:xfrm>
                          <a:prstGeom prst="rect">
                            <a:avLst/>
                          </a:prstGeom>
                        </pic:spPr>
                      </pic:pic>
                    </a:graphicData>
                  </a:graphic>
                </wp:inline>
              </w:drawing>
            </w:r>
          </w:p>
        </w:tc>
      </w:tr>
    </w:tbl>
    <w:tbl>
      <w:tblPr>
        <w:tblW w:w="10205" w:type="dxa"/>
        <w:jc w:val="left"/>
        <w:tblInd w:w="0" w:type="dxa"/>
        <w:tblLayout w:type="fixed"/>
        <w:tblCellMar>
          <w:top w:w="28" w:type="dxa"/>
          <w:left w:w="28" w:type="dxa"/>
          <w:bottom w:w="28" w:type="dxa"/>
          <w:right w:w="28" w:type="dxa"/>
        </w:tblCellMar>
      </w:tblPr>
      <w:tblGrid>
        <w:gridCol w:w="748"/>
        <w:gridCol w:w="657"/>
        <w:gridCol w:w="658"/>
        <w:gridCol w:w="109"/>
        <w:gridCol w:w="109"/>
        <w:gridCol w:w="109"/>
        <w:gridCol w:w="1100"/>
        <w:gridCol w:w="1100"/>
        <w:gridCol w:w="1101"/>
        <w:gridCol w:w="109"/>
        <w:gridCol w:w="109"/>
        <w:gridCol w:w="109"/>
        <w:gridCol w:w="1224"/>
        <w:gridCol w:w="1224"/>
        <w:gridCol w:w="1739"/>
      </w:tblGrid>
      <w:tr>
        <w:trPr/>
        <w:tc>
          <w:tcPr>
            <w:tcW w:w="7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top w:val="single" w:sz="16" w:space="0" w:color="0046C8"/>
            </w:tcBorders>
            <w:shd w:fill="80A3E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top w:val="single" w:sz="16" w:space="0" w:color="4074D6"/>
            </w:tcBorders>
            <w:shd w:fill="BFD1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top w:val="single" w:sz="16" w:space="0" w:color="80A3E4"/>
            </w:tcBorders>
            <w:shd w:fill="E6EDFA"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3" w:type="dxa"/>
            <w:gridSpan w:val="3"/>
            <w:tcBorders/>
            <w:shd w:fill="80A3E4"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30"/>
              </w:rPr>
            </w:pPr>
            <w:r>
              <w:rPr>
                <w:rFonts w:ascii="Lato Bold;sans-serif" w:hAnsi="Lato Bold;sans-serif"/>
                <w:b/>
                <w:color w:val="000000"/>
                <w:sz w:val="30"/>
              </w:rPr>
              <w:t>North America (NA)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shd w:fill="BFD1F1"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30"/>
              </w:rPr>
            </w:pPr>
            <w:r>
              <w:rPr>
                <w:rFonts w:ascii="Lato Bold;sans-serif" w:hAnsi="Lato Bold;sans-serif"/>
                <w:b/>
                <w:color w:val="000000"/>
                <w:sz w:val="30"/>
              </w:rPr>
              <w:t>International Personal Care (IPC)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E6EDFA"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30"/>
              </w:rPr>
            </w:pPr>
            <w:r>
              <w:rPr>
                <w:rFonts w:ascii="Lato Bold;sans-serif" w:hAnsi="Lato Bold;sans-serif"/>
                <w:b/>
                <w:color w:val="000000"/>
                <w:sz w:val="30"/>
              </w:rPr>
              <w:t>International Family Care &amp; Professional (IFP)</w:t>
            </w:r>
          </w:p>
        </w:tc>
      </w:tr>
      <w:tr>
        <w:trPr/>
        <w:tc>
          <w:tcPr>
            <w:tcW w:w="2063" w:type="dxa"/>
            <w:gridSpan w:val="3"/>
            <w:tcBorders/>
            <w:shd w:fill="80A3E4" w:val="clear"/>
            <w:tcMar>
              <w:top w:w="0" w:type="dxa"/>
              <w:left w:w="0" w:type="dxa"/>
              <w:bottom w:w="0" w:type="dxa"/>
              <w:right w:w="0" w:type="dxa"/>
            </w:tcMar>
            <w:vAlign w:val="center"/>
          </w:tcPr>
          <w:p>
            <w:pPr>
              <w:pStyle w:val="TableContents"/>
              <w:bidi w:val="0"/>
              <w:spacing w:lineRule="auto" w:line="312" w:before="80" w:after="80"/>
              <w:ind w:left="0" w:right="0" w:hanging="216"/>
              <w:jc w:val="left"/>
              <w:rPr/>
            </w:pPr>
            <w:r>
              <w:rPr>
                <w:color w:val="000000"/>
              </w:rPr>
              <w:t>•</w:t>
            </w:r>
            <w:r>
              <w:rPr>
                <w:rFonts w:ascii="Lato;sans-serif" w:hAnsi="Lato;sans-serif"/>
                <w:b w:val="false"/>
                <w:color w:val="000000"/>
                <w:sz w:val="19"/>
              </w:rPr>
              <w:t>Baby and Child Care</w:t>
            </w:r>
          </w:p>
          <w:p>
            <w:pPr>
              <w:pStyle w:val="TableContents"/>
              <w:bidi w:val="0"/>
              <w:spacing w:lineRule="auto" w:line="312" w:before="80" w:after="80"/>
              <w:ind w:left="0" w:right="0" w:hanging="216"/>
              <w:jc w:val="left"/>
              <w:rPr/>
            </w:pPr>
            <w:r>
              <w:rPr>
                <w:color w:val="000000"/>
              </w:rPr>
              <w:t>•</w:t>
            </w:r>
            <w:r>
              <w:rPr>
                <w:rFonts w:ascii="Lato;sans-serif" w:hAnsi="Lato;sans-serif"/>
                <w:b w:val="false"/>
                <w:color w:val="000000"/>
                <w:sz w:val="19"/>
              </w:rPr>
              <w:t>Adult Care</w:t>
            </w:r>
          </w:p>
          <w:p>
            <w:pPr>
              <w:pStyle w:val="TableContents"/>
              <w:bidi w:val="0"/>
              <w:spacing w:lineRule="auto" w:line="312" w:before="80" w:after="80"/>
              <w:ind w:left="0" w:right="0" w:hanging="216"/>
              <w:jc w:val="left"/>
              <w:rPr/>
            </w:pPr>
            <w:r>
              <w:rPr>
                <w:color w:val="000000"/>
              </w:rPr>
              <w:t>•</w:t>
            </w:r>
            <w:r>
              <w:rPr>
                <w:rFonts w:ascii="Lato;sans-serif" w:hAnsi="Lato;sans-serif"/>
                <w:b w:val="false"/>
                <w:color w:val="000000"/>
                <w:sz w:val="19"/>
              </w:rPr>
              <w:t>Feminine Care</w:t>
            </w:r>
          </w:p>
          <w:p>
            <w:pPr>
              <w:pStyle w:val="TableContents"/>
              <w:bidi w:val="0"/>
              <w:spacing w:lineRule="auto" w:line="312" w:before="80" w:after="80"/>
              <w:ind w:left="0" w:right="0" w:hanging="216"/>
              <w:jc w:val="left"/>
              <w:rPr/>
            </w:pPr>
            <w:r>
              <w:rPr>
                <w:color w:val="000000"/>
              </w:rPr>
              <w:t>•</w:t>
            </w:r>
            <w:r>
              <w:rPr>
                <w:rFonts w:ascii="Lato;sans-serif" w:hAnsi="Lato;sans-serif"/>
                <w:b w:val="false"/>
                <w:color w:val="000000"/>
                <w:sz w:val="19"/>
              </w:rPr>
              <w:t>Family Care</w:t>
            </w:r>
          </w:p>
          <w:p>
            <w:pPr>
              <w:pStyle w:val="TableContents"/>
              <w:bidi w:val="0"/>
              <w:spacing w:lineRule="auto" w:line="312" w:before="80" w:after="80"/>
              <w:ind w:left="0" w:right="0" w:hanging="216"/>
              <w:jc w:val="left"/>
              <w:rPr/>
            </w:pPr>
            <w:r>
              <w:rPr>
                <w:color w:val="000000"/>
              </w:rPr>
              <w:t>•</w:t>
            </w:r>
            <w:r>
              <w:rPr>
                <w:rFonts w:ascii="Lato;sans-serif" w:hAnsi="Lato;sans-serif"/>
                <w:b w:val="false"/>
                <w:color w:val="000000"/>
                <w:sz w:val="19"/>
              </w:rPr>
              <w:t>Professional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shd w:fill="BFD1F1" w:val="clear"/>
            <w:tcMar>
              <w:top w:w="0" w:type="dxa"/>
              <w:left w:w="0" w:type="dxa"/>
              <w:bottom w:w="0" w:type="dxa"/>
              <w:right w:w="0" w:type="dxa"/>
            </w:tcMar>
            <w:vAlign w:val="center"/>
          </w:tcPr>
          <w:p>
            <w:pPr>
              <w:pStyle w:val="TableContents"/>
              <w:bidi w:val="0"/>
              <w:spacing w:lineRule="auto" w:line="312" w:before="80" w:after="80"/>
              <w:ind w:left="0" w:right="0" w:hanging="216"/>
              <w:jc w:val="left"/>
              <w:rPr/>
            </w:pPr>
            <w:r>
              <w:rPr>
                <w:color w:val="000000"/>
              </w:rPr>
              <w:t>•</w:t>
            </w:r>
            <w:r>
              <w:rPr>
                <w:rFonts w:ascii="Lato;sans-serif" w:hAnsi="Lato;sans-serif"/>
                <w:b w:val="false"/>
                <w:color w:val="000000"/>
                <w:sz w:val="19"/>
              </w:rPr>
              <w:t>Baby and Child Care</w:t>
            </w:r>
          </w:p>
          <w:p>
            <w:pPr>
              <w:pStyle w:val="TableContents"/>
              <w:bidi w:val="0"/>
              <w:spacing w:lineRule="auto" w:line="312" w:before="80" w:after="80"/>
              <w:ind w:left="0" w:right="0" w:hanging="216"/>
              <w:jc w:val="left"/>
              <w:rPr/>
            </w:pPr>
            <w:r>
              <w:rPr>
                <w:color w:val="000000"/>
              </w:rPr>
              <w:t>•</w:t>
            </w:r>
            <w:r>
              <w:rPr>
                <w:rFonts w:ascii="Lato;sans-serif" w:hAnsi="Lato;sans-serif"/>
                <w:b w:val="false"/>
                <w:color w:val="000000"/>
                <w:sz w:val="19"/>
              </w:rPr>
              <w:t>Adult Care</w:t>
            </w:r>
          </w:p>
          <w:p>
            <w:pPr>
              <w:pStyle w:val="TableContents"/>
              <w:bidi w:val="0"/>
              <w:spacing w:lineRule="auto" w:line="312" w:before="80" w:after="80"/>
              <w:ind w:left="0" w:right="0" w:hanging="216"/>
              <w:jc w:val="left"/>
              <w:rPr/>
            </w:pPr>
            <w:r>
              <w:rPr>
                <w:color w:val="000000"/>
              </w:rPr>
              <w:t>•</w:t>
            </w:r>
            <w:r>
              <w:rPr>
                <w:rFonts w:ascii="Lato;sans-serif" w:hAnsi="Lato;sans-serif"/>
                <w:b w:val="false"/>
                <w:color w:val="000000"/>
                <w:sz w:val="19"/>
              </w:rPr>
              <w:t>Feminine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E6EDFA" w:val="clear"/>
            <w:tcMar>
              <w:top w:w="0" w:type="dxa"/>
              <w:left w:w="0" w:type="dxa"/>
              <w:bottom w:w="0" w:type="dxa"/>
              <w:right w:w="0" w:type="dxa"/>
            </w:tcMar>
            <w:vAlign w:val="center"/>
          </w:tcPr>
          <w:p>
            <w:pPr>
              <w:pStyle w:val="TableContents"/>
              <w:bidi w:val="0"/>
              <w:spacing w:lineRule="auto" w:line="312" w:before="80" w:after="80"/>
              <w:ind w:left="0" w:right="0" w:hanging="216"/>
              <w:jc w:val="left"/>
              <w:rPr/>
            </w:pPr>
            <w:r>
              <w:rPr>
                <w:color w:val="000000"/>
              </w:rPr>
              <w:t>•</w:t>
            </w:r>
            <w:r>
              <w:rPr>
                <w:rFonts w:ascii="Lato;sans-serif" w:hAnsi="Lato;sans-serif"/>
                <w:b w:val="false"/>
                <w:color w:val="000000"/>
                <w:sz w:val="19"/>
              </w:rPr>
              <w:t>Family Care</w:t>
            </w:r>
          </w:p>
          <w:p>
            <w:pPr>
              <w:pStyle w:val="TableContents"/>
              <w:bidi w:val="0"/>
              <w:spacing w:lineRule="auto" w:line="312" w:before="80" w:after="80"/>
              <w:ind w:left="0" w:right="0" w:hanging="216"/>
              <w:jc w:val="left"/>
              <w:rPr/>
            </w:pPr>
            <w:r>
              <w:rPr>
                <w:color w:val="000000"/>
              </w:rPr>
              <w:t>•</w:t>
            </w:r>
            <w:r>
              <w:rPr>
                <w:rFonts w:ascii="Lato;sans-serif" w:hAnsi="Lato;sans-serif"/>
                <w:b w:val="false"/>
                <w:color w:val="000000"/>
                <w:sz w:val="19"/>
              </w:rPr>
              <w:t>Professional</w:t>
            </w:r>
          </w:p>
        </w:tc>
      </w:tr>
      <w:tr>
        <w:trPr/>
        <w:tc>
          <w:tcPr>
            <w:tcW w:w="2063" w:type="dxa"/>
            <w:gridSpan w:val="3"/>
            <w:tcBorders/>
            <w:shd w:fill="80A3E4"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30"/>
              </w:rPr>
            </w:pPr>
            <w:r>
              <w:rPr>
                <w:rFonts w:ascii="Lato Bold;sans-serif" w:hAnsi="Lato Bold;sans-serif"/>
                <w:b/>
                <w:color w:val="000000"/>
                <w:sz w:val="30"/>
              </w:rPr>
              <w:t>$11.0 Billion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3"/>
            <w:tcBorders/>
            <w:shd w:fill="BFD1F1"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30"/>
              </w:rPr>
            </w:pPr>
            <w:r>
              <w:rPr>
                <w:rFonts w:ascii="Lato Bold;sans-serif" w:hAnsi="Lato Bold;sans-serif"/>
                <w:b/>
                <w:color w:val="000000"/>
                <w:sz w:val="30"/>
              </w:rPr>
              <w:t>$5.7 Billion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3"/>
            <w:tcBorders/>
            <w:shd w:fill="E6EDFA"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30"/>
              </w:rPr>
            </w:pPr>
            <w:r>
              <w:rPr>
                <w:rFonts w:ascii="Lato Bold;sans-serif" w:hAnsi="Lato Bold;sans-serif"/>
                <w:b/>
                <w:color w:val="000000"/>
                <w:sz w:val="30"/>
              </w:rPr>
              <w:t>$3.3 Billion</w:t>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251460"/>
                <wp:effectExtent l="0" t="0" r="0" b="0"/>
                <wp:wrapNone/>
                <wp:docPr id="6"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tbl>
      <w:tblPr>
        <w:tblW w:w="10205" w:type="dxa"/>
        <w:jc w:val="right"/>
        <w:tblInd w:w="0" w:type="dxa"/>
        <w:tblLayout w:type="fixed"/>
        <w:tblCellMar>
          <w:top w:w="28" w:type="dxa"/>
          <w:left w:w="28" w:type="dxa"/>
          <w:bottom w:w="28" w:type="dxa"/>
          <w:right w:w="28" w:type="dxa"/>
        </w:tblCellMar>
      </w:tblPr>
      <w:tblGrid>
        <w:gridCol w:w="1066"/>
        <w:gridCol w:w="936"/>
        <w:gridCol w:w="939"/>
        <w:gridCol w:w="2127"/>
        <w:gridCol w:w="2127"/>
        <w:gridCol w:w="3010"/>
      </w:tblGrid>
      <w:tr>
        <w:trPr/>
        <w:tc>
          <w:tcPr>
            <w:tcW w:w="106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r>
      <w:tr>
        <w:trPr/>
        <w:tc>
          <w:tcPr>
            <w:tcW w:w="2941" w:type="dxa"/>
            <w:gridSpan w:val="3"/>
            <w:vMerge w:val="restart"/>
            <w:tcBorders/>
            <w:tcMar>
              <w:top w:w="0" w:type="dxa"/>
              <w:left w:w="0" w:type="dxa"/>
              <w:bottom w:w="0" w:type="dxa"/>
              <w:right w:w="0" w:type="dxa"/>
            </w:tcMar>
            <w:vAlign w:val="center"/>
          </w:tcPr>
          <w:p>
            <w:pPr>
              <w:pStyle w:val="TableContents"/>
              <w:bidi w:val="0"/>
              <w:spacing w:lineRule="auto" w:line="312" w:before="120" w:after="60"/>
              <w:jc w:val="left"/>
              <w:rPr/>
            </w:pPr>
            <w:r>
              <w:rPr/>
              <w:drawing>
                <wp:inline distT="0" distB="0" distL="0" distR="0">
                  <wp:extent cx="1371600" cy="13525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371600" cy="1352550"/>
                          </a:xfrm>
                          <a:prstGeom prst="rect">
                            <a:avLst/>
                          </a:prstGeom>
                        </pic:spPr>
                      </pic:pic>
                    </a:graphicData>
                  </a:graphic>
                </wp:inline>
              </w:drawing>
            </w:r>
            <w:r>
              <w:rPr>
                <w:color w:val="000000"/>
              </w:rPr>
              <w:t> </w:t>
            </w:r>
          </w:p>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Michael D. Hsu</w:t>
            </w:r>
          </w:p>
          <w:p>
            <w:pPr>
              <w:pStyle w:val="TableContents"/>
              <w:bidi w:val="0"/>
              <w:spacing w:lineRule="auto" w:line="312" w:before="0" w:after="600"/>
              <w:jc w:val="left"/>
              <w:rPr>
                <w:rFonts w:ascii="Lato;sans-serif" w:hAnsi="Lato;sans-serif"/>
                <w:b w:val="false"/>
                <w:color w:val="000000"/>
                <w:sz w:val="19"/>
              </w:rPr>
            </w:pPr>
            <w:r>
              <w:rPr>
                <w:rFonts w:ascii="Lato;sans-serif" w:hAnsi="Lato;sans-serif"/>
                <w:b w:val="false"/>
                <w:color w:val="000000"/>
                <w:sz w:val="19"/>
              </w:rPr>
              <w:t>Chairman of the Board and Chief Executive Officer</w:t>
            </w:r>
          </w:p>
          <w:p>
            <w:pPr>
              <w:pStyle w:val="TableContents"/>
              <w:bidi w:val="0"/>
              <w:spacing w:lineRule="auto" w:line="312" w:before="0" w:after="600"/>
              <w:jc w:val="left"/>
              <w:rPr>
                <w:rFonts w:ascii="Lato;sans-serif" w:hAnsi="Lato;sans-serif"/>
                <w:b w:val="false"/>
                <w:color w:val="000000"/>
                <w:sz w:val="24"/>
              </w:rPr>
            </w:pPr>
            <w:r>
              <w:rPr>
                <w:rFonts w:ascii="Lato;sans-serif" w:hAnsi="Lato;sans-serif"/>
                <w:b w:val="false"/>
                <w:color w:val="000000"/>
                <w:sz w:val="24"/>
              </w:rPr>
              <w:t>"… we set a strong foundation for continued growth and value creation into 2025 ..."</w:t>
            </w:r>
          </w:p>
        </w:tc>
        <w:tc>
          <w:tcPr>
            <w:tcW w:w="7264"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vMerge w:val="continue"/>
            <w:tcBorders/>
            <w:tcMar>
              <w:top w:w="0" w:type="dxa"/>
              <w:left w:w="0" w:type="dxa"/>
              <w:bottom w:w="0" w:type="dxa"/>
              <w:right w:w="0" w:type="dxa"/>
            </w:tcMar>
            <w:vAlign w:val="center"/>
          </w:tcPr>
          <w:p>
            <w:pPr>
              <w:pStyle w:val="Normal"/>
              <w:bidi w:val="0"/>
              <w:jc w:val="left"/>
              <w:rPr/>
            </w:pPr>
            <w:r>
              <w:rPr/>
            </w:r>
          </w:p>
        </w:tc>
        <w:tc>
          <w:tcPr>
            <w:tcW w:w="726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March 10, 2025</w:t>
            </w:r>
          </w:p>
          <w:p>
            <w:pPr>
              <w:pStyle w:val="TableContents"/>
              <w:bidi w:val="0"/>
              <w:spacing w:lineRule="auto" w:line="288" w:before="260" w:after="120"/>
              <w:jc w:val="left"/>
              <w:rPr>
                <w:rFonts w:ascii="Lato Bold;sans-serif" w:hAnsi="Lato Bold;sans-serif"/>
                <w:b/>
                <w:color w:val="0046C8"/>
                <w:sz w:val="26"/>
              </w:rPr>
            </w:pPr>
            <w:r>
              <w:rPr>
                <w:rFonts w:ascii="Lato Bold;sans-serif" w:hAnsi="Lato Bold;sans-serif"/>
                <w:b/>
                <w:color w:val="0046C8"/>
                <w:sz w:val="26"/>
              </w:rPr>
              <w:t>FELLOW STOCKHOLDERS:</w:t>
            </w:r>
          </w:p>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On behalf of the Kimberly-Clark Board of Directors, thank you for your continued engagement with our company. Your role as stockholders places you at the center of our value-creation efforts—and your commitment to Kimberly-Clark was a driving force behind the breakthrough year we just completed.</w:t>
            </w:r>
          </w:p>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In 2024, Kimberly-Clark launched a rapid and results-driven transformation through our Powering Care strategy. Our new strategy deepens our commitment to provide Better Care for a Better World and will enable us to deliver balanced and sustainable growth over the long term. In short, it positions Kimberly-Clark to compete and win. This year, we did just that. </w:t>
            </w:r>
          </w:p>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2024 results exceeded the new long-term growth algorithm we provided as we rolled out Powering Care—even amidst discrete macroeconomic headwinds. I am proud of our teams around the world who made this possible.</w:t>
            </w:r>
          </w:p>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The early success of our transformation is driven by strong execution and significant progress against each of our three core strategic pillars: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Accelerating pioneering innovation with advancement of our exciting pipeline and launch of new solutions;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Optimizing our margin structure driven by significant gross margin improvement and supply chain productivity; and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Wiring our organization for growth, which includes the transition to three new operating segments to enable a faster, more focused and more efficient go-to-market strategy.</w:t>
            </w:r>
          </w:p>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Led by our dedicated teams, we set a strong foundation for continued growth and value creation into 2025 and beyond.</w:t>
            </w:r>
          </w:p>
          <w:p>
            <w:pPr>
              <w:pStyle w:val="TableContents"/>
              <w:bidi w:val="0"/>
              <w:spacing w:lineRule="auto" w:line="312" w:before="80" w:after="80"/>
              <w:jc w:val="left"/>
              <w:rPr>
                <w:rFonts w:ascii="Lato;sans-serif" w:hAnsi="Lato;sans-serif"/>
                <w:b w:val="false"/>
                <w:color w:val="000000"/>
                <w:sz w:val="19"/>
              </w:rPr>
            </w:pPr>
            <w:r>
              <w:rPr>
                <w:rFonts w:ascii="Lato;sans-serif" w:hAnsi="Lato;sans-serif"/>
                <w:b w:val="false"/>
                <w:color w:val="000000"/>
                <w:sz w:val="19"/>
              </w:rPr>
              <w:t xml:space="preserve">In the first year of our transformation, we produced solid results :*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Sales of $20.1 billion, a decrease of 1.8%, with organic sales increasing by 3.2%</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Gross margin of 35.8% with adjusted gross margin expanding meaningfully by 200 basis points to 36.5%</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Operating profit of $3.2 billion in 2024 versus $2.3 billion in 2023. Adjusted operating profit of $3.2 billion in 2024 versus $3.0 billion in 2023</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Diluted earnings per share of $7.55 compared to $5.21 in 2023. Adjusted earnings per share of $7.30 compared to $6.57 in 2023</w:t>
            </w:r>
          </w:p>
          <w:p>
            <w:pPr>
              <w:pStyle w:val="TableContents"/>
              <w:bidi w:val="0"/>
              <w:spacing w:lineRule="auto" w:line="312" w:before="120" w:after="120"/>
              <w:jc w:val="left"/>
              <w:rPr/>
            </w:pPr>
            <w:r>
              <w:rPr>
                <w:rFonts w:ascii="Lato;sans-serif" w:hAnsi="Lato;sans-serif"/>
                <w:b w:val="false"/>
                <w:color w:val="000000"/>
                <w:sz w:val="19"/>
              </w:rPr>
              <w:t>In 2024, we generated cash from operations of $3.2 billion and adjusted free cash flow* of $2.7 billion, exceeding our $2 billion plus annual target. Additionally, the company returned $2.6 billion to stockholders through our dividends and share repurchases in 2024. What’s more, our 2025 quarterly dividend has increased by 3.3%—resulting in our 53</w:t>
            </w:r>
            <w:r>
              <w:rPr>
                <w:rFonts w:ascii="Lato;sans-serif" w:hAnsi="Lato;sans-serif"/>
                <w:b w:val="false"/>
                <w:color w:val="000000"/>
                <w:sz w:val="12"/>
              </w:rPr>
              <w:t>rd</w:t>
            </w:r>
            <w:r>
              <w:rPr>
                <w:color w:val="000000"/>
              </w:rPr>
              <w:t xml:space="preserve"> </w:t>
            </w:r>
            <w:r>
              <w:rPr>
                <w:rFonts w:ascii="Lato;sans-serif" w:hAnsi="Lato;sans-serif"/>
                <w:b w:val="false"/>
                <w:color w:val="000000"/>
                <w:sz w:val="19"/>
              </w:rPr>
              <w:t>consecutive year of dividend increases.</w:t>
            </w:r>
          </w:p>
          <w:p>
            <w:pPr>
              <w:pStyle w:val="TableContents"/>
              <w:bidi w:val="0"/>
              <w:spacing w:lineRule="auto" w:line="312" w:before="120" w:after="283"/>
              <w:jc w:val="left"/>
              <w:rPr>
                <w:rFonts w:ascii="Lato;sans-serif" w:hAnsi="Lato;sans-serif"/>
                <w:b w:val="false"/>
                <w:color w:val="000000"/>
                <w:sz w:val="19"/>
              </w:rPr>
            </w:pPr>
            <w:r>
              <w:rPr>
                <w:rFonts w:ascii="Lato;sans-serif" w:hAnsi="Lato;sans-serif"/>
                <w:b w:val="false"/>
                <w:color w:val="000000"/>
                <w:sz w:val="19"/>
              </w:rPr>
              <w:t>In 2025, our teams remain united in our singular goal of accelerating value creation for all stakeholders. Having laid the groundwork in 2024, 2025 will see us scale our initiatives by leveraging our global positioning to inform our local strategies. We will continue investing to ensure superior brand propositions and launching innovative new solutions while transforming our global supply chain, reducing complexity, and driving profitability.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629920"/>
                <wp:effectExtent l="0" t="0" r="0" b="0"/>
                <wp:wrapNone/>
                <wp:docPr id="8" name="Frame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47" w:type="dxa"/>
                              <w:jc w:val="right"/>
                              <w:tblInd w:w="0" w:type="dxa"/>
                              <w:tblLayout w:type="fixed"/>
                              <w:tblCellMar>
                                <w:top w:w="28" w:type="dxa"/>
                                <w:left w:w="28" w:type="dxa"/>
                                <w:bottom w:w="28" w:type="dxa"/>
                                <w:right w:w="28" w:type="dxa"/>
                              </w:tblCellMar>
                            </w:tblPr>
                            <w:tblGrid>
                              <w:gridCol w:w="787"/>
                              <w:gridCol w:w="692"/>
                              <w:gridCol w:w="696"/>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47" w:type="dxa"/>
                        <w:jc w:val="right"/>
                        <w:tblInd w:w="0" w:type="dxa"/>
                        <w:tblLayout w:type="fixed"/>
                        <w:tblCellMar>
                          <w:top w:w="28" w:type="dxa"/>
                          <w:left w:w="28" w:type="dxa"/>
                          <w:bottom w:w="28" w:type="dxa"/>
                          <w:right w:w="28" w:type="dxa"/>
                        </w:tblCellMar>
                      </w:tblPr>
                      <w:tblGrid>
                        <w:gridCol w:w="787"/>
                        <w:gridCol w:w="692"/>
                        <w:gridCol w:w="696"/>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2320" w:type="dxa"/>
        <w:jc w:val="left"/>
        <w:tblInd w:w="0" w:type="dxa"/>
        <w:tblLayout w:type="fixed"/>
        <w:tblCellMar>
          <w:top w:w="28" w:type="dxa"/>
          <w:left w:w="28" w:type="dxa"/>
          <w:bottom w:w="28" w:type="dxa"/>
          <w:right w:w="28" w:type="dxa"/>
        </w:tblCellMar>
      </w:tblPr>
      <w:tblGrid>
        <w:gridCol w:w="640"/>
        <w:gridCol w:w="563"/>
        <w:gridCol w:w="566"/>
        <w:gridCol w:w="161"/>
        <w:gridCol w:w="161"/>
        <w:gridCol w:w="229"/>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Letter to Shareholders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228600" cy="180975"/>
                          </a:xfrm>
                          <a:prstGeom prst="rect">
                            <a:avLst/>
                          </a:prstGeom>
                        </pic:spPr>
                      </pic:pic>
                    </a:graphicData>
                  </a:graphic>
                </wp:inline>
              </w:drawing>
            </w:r>
            <w:r>
              <w:rPr>
                <w:color w:val="000000"/>
              </w:rPr>
              <w:t> </w:t>
            </w:r>
          </w:p>
        </w:tc>
      </w:tr>
      <w:tr>
        <w:trPr/>
        <w:tc>
          <w:tcPr>
            <w:tcW w:w="176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righ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experienced Board of Directors has played a key role in overseeing our continued transformation and is committed to serving our global consumers and driving shareholder value. In November, we added to our expertise with the addition of Joe Romanelli to our Board. We have already begun to leverage his global leadership experience and his expertise in biosciences and healthcare as we continue to produce safe products to care for our planet.</w:t>
            </w:r>
          </w:p>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Our commitment to sustainable practices that address risks and increase resiliency remains strong, and in 2024 we continued to drive positive impact across our pillars of Better Products, Better Planet, Better Workplace and Better Society. With a longstanding focus on sustainable practices that support a healthy planet and build strong communities, we are working to ensure that our business thrives for decades to come. </w:t>
            </w:r>
          </w:p>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As always, your vote is important. We encourage you to join us at the Annual Meeting of Stockholders which will be held virtually on Thursday, May 1, 2025 at 8:00 a.m. Central Standard Time . Regardless of whether you plan to join the meeting, I urge you to vote your shares as soon as possible. Information about voting your shares is included in this proxy statement.</w:t>
            </w:r>
          </w:p>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Thank you for your continued investment in Kimberly-Clark as we continue to perform and transform.</w:t>
            </w:r>
          </w:p>
          <w:p>
            <w:pPr>
              <w:pStyle w:val="TableContents"/>
              <w:bidi w:val="0"/>
              <w:spacing w:before="80" w:after="80"/>
              <w:jc w:val="left"/>
              <w:rPr/>
            </w:pPr>
            <w:r>
              <w:rPr/>
              <w:drawing>
                <wp:inline distT="0" distB="0" distL="0" distR="0">
                  <wp:extent cx="1181100" cy="36195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181100" cy="361950"/>
                          </a:xfrm>
                          <a:prstGeom prst="rect">
                            <a:avLst/>
                          </a:prstGeom>
                        </pic:spPr>
                      </pic:pic>
                    </a:graphicData>
                  </a:graphic>
                </wp:inline>
              </w:drawing>
            </w:r>
          </w:p>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Michael D. Hsu</w:t>
            </w:r>
          </w:p>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Chairman of the Board and Chief Executive Officer</w:t>
            </w:r>
          </w:p>
          <w:p>
            <w:pPr>
              <w:pStyle w:val="TableContents"/>
              <w:bidi w:val="0"/>
              <w:spacing w:lineRule="auto" w:line="312" w:before="80" w:after="80"/>
              <w:ind w:left="0" w:right="0" w:hanging="216"/>
              <w:jc w:val="left"/>
              <w:rPr>
                <w:rFonts w:ascii="Lato;sans-serif" w:hAnsi="Lato;sans-serif"/>
                <w:b w:val="false"/>
                <w:color w:val="000000"/>
                <w:sz w:val="16"/>
              </w:rPr>
            </w:pPr>
            <w:r>
              <w:rPr>
                <w:rFonts w:ascii="Lato;sans-serif" w:hAnsi="Lato;sans-serif"/>
                <w:b w:val="false"/>
                <w:color w:val="000000"/>
                <w:sz w:val="16"/>
              </w:rPr>
              <w:t>*     Organic sales growth, adjusted gross margin, adjusted operating profit, adjusted earnings per share and adjusted free cash flow are non-GAAP financial measures. Please see Appendix A for a reconciliation of GAAP to non-GAAP measures.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629920"/>
                <wp:effectExtent l="0" t="0" r="0" b="0"/>
                <wp:wrapNone/>
                <wp:docPr id="11" name="Frame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47" w:type="dxa"/>
                              <w:jc w:val="left"/>
                              <w:tblInd w:w="0" w:type="dxa"/>
                              <w:tblLayout w:type="fixed"/>
                              <w:tblCellMar>
                                <w:top w:w="28" w:type="dxa"/>
                                <w:left w:w="28" w:type="dxa"/>
                                <w:bottom w:w="28" w:type="dxa"/>
                                <w:right w:w="28" w:type="dxa"/>
                              </w:tblCellMar>
                            </w:tblPr>
                            <w:tblGrid>
                              <w:gridCol w:w="124"/>
                              <w:gridCol w:w="109"/>
                              <w:gridCol w:w="109"/>
                              <w:gridCol w:w="645"/>
                              <w:gridCol w:w="645"/>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47" w:type="dxa"/>
                        <w:jc w:val="left"/>
                        <w:tblInd w:w="0" w:type="dxa"/>
                        <w:tblLayout w:type="fixed"/>
                        <w:tblCellMar>
                          <w:top w:w="28" w:type="dxa"/>
                          <w:left w:w="28" w:type="dxa"/>
                          <w:bottom w:w="28" w:type="dxa"/>
                          <w:right w:w="28" w:type="dxa"/>
                        </w:tblCellMar>
                      </w:tblPr>
                      <w:tblGrid>
                        <w:gridCol w:w="124"/>
                        <w:gridCol w:w="109"/>
                        <w:gridCol w:w="109"/>
                        <w:gridCol w:w="645"/>
                        <w:gridCol w:w="645"/>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312" w:before="120" w:after="120"/>
        <w:jc w:val="center"/>
        <w:rPr>
          <w:rFonts w:ascii="Lato;sans-serif" w:hAnsi="Lato;sans-serif"/>
          <w:b w:val="false"/>
          <w:color w:val="000000"/>
          <w:sz w:val="19"/>
        </w:rPr>
      </w:pPr>
      <w:r>
        <w:rPr>
          <w:rFonts w:ascii="Lato;sans-serif" w:hAnsi="Lato;sans-serif"/>
          <w:b w:val="false"/>
          <w:color w:val="000000"/>
          <w:sz w:val="19"/>
        </w:rPr>
        <w:t>This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251460"/>
                <wp:effectExtent l="0" t="0" r="0" b="0"/>
                <wp:wrapNone/>
                <wp:docPr id="12"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tbl>
      <w:tblPr>
        <w:tblW w:w="893" w:type="dxa"/>
        <w:jc w:val="left"/>
        <w:tblInd w:w="0" w:type="dxa"/>
        <w:tblLayout w:type="fixed"/>
        <w:tblCellMar>
          <w:top w:w="28" w:type="dxa"/>
          <w:left w:w="28" w:type="dxa"/>
          <w:bottom w:w="28" w:type="dxa"/>
          <w:right w:w="28" w:type="dxa"/>
        </w:tblCellMar>
      </w:tblPr>
      <w:tblGrid>
        <w:gridCol w:w="188"/>
        <w:gridCol w:w="166"/>
        <w:gridCol w:w="16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228600" cy="180975"/>
                          </a:xfrm>
                          <a:prstGeom prst="rect">
                            <a:avLst/>
                          </a:prstGeom>
                        </pic:spPr>
                      </pic:pic>
                    </a:graphicData>
                  </a:graphic>
                </wp:inline>
              </w:drawing>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120"/>
        <w:jc w:val="left"/>
        <w:rPr>
          <w:rFonts w:ascii="Lato;sans-serif" w:hAnsi="Lato;sans-serif"/>
          <w:b w:val="false"/>
          <w:color w:val="0046C8"/>
          <w:sz w:val="48"/>
        </w:rPr>
      </w:pPr>
      <w:r>
        <w:rPr>
          <w:rFonts w:ascii="Lato;sans-serif" w:hAnsi="Lato;sans-serif"/>
          <w:b w:val="false"/>
          <w:color w:val="0046C8"/>
          <w:sz w:val="48"/>
        </w:rPr>
        <w:t>Notice of Annual Meeting of Stockholders</w:t>
      </w:r>
    </w:p>
    <w:tbl>
      <w:tblPr>
        <w:tblW w:w="10205" w:type="dxa"/>
        <w:jc w:val="left"/>
        <w:tblInd w:w="0" w:type="dxa"/>
        <w:tblLayout w:type="fixed"/>
        <w:tblCellMar>
          <w:top w:w="28" w:type="dxa"/>
          <w:left w:w="28" w:type="dxa"/>
          <w:bottom w:w="28" w:type="dxa"/>
          <w:right w:w="28" w:type="dxa"/>
        </w:tblCellMar>
      </w:tblPr>
      <w:tblGrid>
        <w:gridCol w:w="341"/>
        <w:gridCol w:w="299"/>
        <w:gridCol w:w="301"/>
        <w:gridCol w:w="437"/>
        <w:gridCol w:w="437"/>
        <w:gridCol w:w="438"/>
        <w:gridCol w:w="109"/>
        <w:gridCol w:w="109"/>
        <w:gridCol w:w="109"/>
        <w:gridCol w:w="109"/>
        <w:gridCol w:w="109"/>
        <w:gridCol w:w="109"/>
        <w:gridCol w:w="288"/>
        <w:gridCol w:w="288"/>
        <w:gridCol w:w="290"/>
        <w:gridCol w:w="798"/>
        <w:gridCol w:w="798"/>
        <w:gridCol w:w="799"/>
        <w:gridCol w:w="109"/>
        <w:gridCol w:w="109"/>
        <w:gridCol w:w="109"/>
        <w:gridCol w:w="109"/>
        <w:gridCol w:w="109"/>
        <w:gridCol w:w="109"/>
        <w:gridCol w:w="253"/>
        <w:gridCol w:w="253"/>
        <w:gridCol w:w="255"/>
        <w:gridCol w:w="766"/>
        <w:gridCol w:w="766"/>
        <w:gridCol w:w="1090"/>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495300" cy="45720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495300" cy="457200"/>
                          </a:xfrm>
                          <a:prstGeom prst="rect">
                            <a:avLst/>
                          </a:prstGeom>
                        </pic:spPr>
                      </pic:pic>
                    </a:graphicData>
                  </a:graphic>
                </wp:inline>
              </w:drawing>
            </w:r>
            <w:r>
              <w:rPr>
                <w:color w:val="000000"/>
              </w:rPr>
              <w:t> </w:t>
            </w:r>
          </w:p>
        </w:tc>
        <w:tc>
          <w:tcPr>
            <w:tcW w:w="131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Lato Bold;sans-serif" w:hAnsi="Lato Bold;sans-serif"/>
                <w:b/>
                <w:color w:val="0046C8"/>
                <w:sz w:val="19"/>
              </w:rPr>
            </w:pPr>
            <w:r>
              <w:rPr>
                <w:rFonts w:ascii="Lato Bold;sans-serif" w:hAnsi="Lato Bold;sans-serif"/>
                <w:b/>
                <w:color w:val="0046C8"/>
                <w:sz w:val="19"/>
              </w:rPr>
              <w:t>Date and Time</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May 1, 2025 (Thursday)</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 xml:space="preserve">8:00 AM </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(Central)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457200" cy="45720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457200" cy="457200"/>
                          </a:xfrm>
                          <a:prstGeom prst="rect">
                            <a:avLst/>
                          </a:prstGeom>
                        </pic:spPr>
                      </pic:pic>
                    </a:graphicData>
                  </a:graphic>
                </wp:inline>
              </w:drawing>
            </w:r>
            <w:r>
              <w:rPr>
                <w:color w:val="000000"/>
              </w:rPr>
              <w:t> </w:t>
            </w:r>
          </w:p>
        </w:tc>
        <w:tc>
          <w:tcPr>
            <w:tcW w:w="2395"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Lato Bold;sans-serif" w:hAnsi="Lato Bold;sans-serif"/>
                <w:b/>
                <w:color w:val="0046C8"/>
                <w:sz w:val="19"/>
              </w:rPr>
            </w:pPr>
            <w:r>
              <w:rPr>
                <w:rFonts w:ascii="Lato Bold;sans-serif" w:hAnsi="Lato Bold;sans-serif"/>
                <w:b/>
                <w:color w:val="0046C8"/>
                <w:sz w:val="19"/>
              </w:rPr>
              <w:t>Location</w:t>
            </w:r>
          </w:p>
          <w:p>
            <w:pPr>
              <w:pStyle w:val="TableContents"/>
              <w:bidi w:val="0"/>
              <w:spacing w:lineRule="auto" w:line="312" w:before="0" w:after="0"/>
              <w:jc w:val="left"/>
              <w:rPr>
                <w:rFonts w:ascii="Lato;sans-serif" w:hAnsi="Lato;sans-serif"/>
                <w:b w:val="false"/>
                <w:i/>
                <w:color w:val="000000"/>
                <w:sz w:val="19"/>
              </w:rPr>
            </w:pPr>
            <w:r>
              <w:rPr>
                <w:rFonts w:ascii="Lato;sans-serif" w:hAnsi="Lato;sans-serif"/>
                <w:b w:val="false"/>
                <w:i/>
                <w:color w:val="000000"/>
                <w:sz w:val="19"/>
              </w:rPr>
              <w:t>Live Webcast</w:t>
            </w:r>
          </w:p>
          <w:p>
            <w:pPr>
              <w:pStyle w:val="TableContents"/>
              <w:bidi w:val="0"/>
              <w:spacing w:lineRule="auto" w:line="312" w:before="0" w:after="0"/>
              <w:jc w:val="left"/>
              <w:rPr>
                <w:rFonts w:ascii="Lato;sans-serif" w:hAnsi="Lato;sans-serif"/>
                <w:b/>
                <w:color w:val="000000"/>
                <w:sz w:val="19"/>
              </w:rPr>
            </w:pPr>
            <w:r>
              <w:rPr>
                <w:rFonts w:ascii="Lato;sans-serif" w:hAnsi="Lato;sans-serif"/>
                <w:b/>
                <w:color w:val="000000"/>
                <w:sz w:val="19"/>
              </w:rPr>
              <w:t>https://meetnow.global/MGLG9NG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390525" cy="44767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390525" cy="447675"/>
                          </a:xfrm>
                          <a:prstGeom prst="rect">
                            <a:avLst/>
                          </a:prstGeom>
                        </pic:spPr>
                      </pic:pic>
                    </a:graphicData>
                  </a:graphic>
                </wp:inline>
              </w:drawing>
            </w:r>
            <w:r>
              <w:rPr>
                <w:color w:val="000000"/>
              </w:rPr>
              <w:t> </w:t>
            </w:r>
          </w:p>
        </w:tc>
        <w:tc>
          <w:tcPr>
            <w:tcW w:w="2622"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Lato Bold;sans-serif" w:hAnsi="Lato Bold;sans-serif"/>
                <w:b/>
                <w:color w:val="0046C8"/>
                <w:sz w:val="19"/>
              </w:rPr>
            </w:pPr>
            <w:r>
              <w:rPr>
                <w:rFonts w:ascii="Lato Bold;sans-serif" w:hAnsi="Lato Bold;sans-serif"/>
                <w:b/>
                <w:color w:val="0046C8"/>
                <w:sz w:val="19"/>
              </w:rPr>
              <w:t>Who May Vote</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Stockholders of record at the close of business on the record date of March 3, 2025</w:t>
            </w:r>
          </w:p>
        </w:tc>
      </w:tr>
      <w:tr>
        <w:trPr/>
        <w:tc>
          <w:tcPr>
            <w:tcW w:w="941"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There will not be an option to attend the meeting in person. Please see “Attending the Virtual Annual Meeting” for more information.</w:t>
      </w:r>
    </w:p>
    <w:p>
      <w:pPr>
        <w:pStyle w:val="TextBody"/>
        <w:bidi w:val="0"/>
        <w:spacing w:lineRule="auto" w:line="288" w:before="120" w:after="283"/>
        <w:jc w:val="left"/>
        <w:rPr>
          <w:rFonts w:ascii="Lato Bold;sans-serif" w:hAnsi="Lato Bold;sans-serif"/>
          <w:b/>
          <w:color w:val="000000"/>
          <w:sz w:val="24"/>
        </w:rPr>
      </w:pPr>
      <w:r>
        <w:rPr>
          <w:rFonts w:ascii="Lato Bold;sans-serif" w:hAnsi="Lato Bold;sans-serif"/>
          <w:b/>
          <w:color w:val="000000"/>
          <w:sz w:val="24"/>
        </w:rPr>
        <w:t>Voting Items Proposals</w:t>
      </w:r>
    </w:p>
    <w:tbl>
      <w:tblPr>
        <w:tblW w:w="10205" w:type="dxa"/>
        <w:jc w:val="left"/>
        <w:tblInd w:w="0" w:type="dxa"/>
        <w:tblLayout w:type="fixed"/>
        <w:tblCellMar>
          <w:top w:w="28" w:type="dxa"/>
          <w:left w:w="28" w:type="dxa"/>
          <w:bottom w:w="28" w:type="dxa"/>
          <w:right w:w="28" w:type="dxa"/>
        </w:tblCellMar>
      </w:tblPr>
      <w:tblGrid>
        <w:gridCol w:w="168"/>
        <w:gridCol w:w="148"/>
        <w:gridCol w:w="150"/>
        <w:gridCol w:w="1780"/>
        <w:gridCol w:w="1780"/>
        <w:gridCol w:w="1784"/>
        <w:gridCol w:w="911"/>
        <w:gridCol w:w="911"/>
        <w:gridCol w:w="913"/>
        <w:gridCol w:w="484"/>
        <w:gridCol w:w="484"/>
        <w:gridCol w:w="692"/>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Board Vote Recommendation</w:t>
            </w:r>
          </w:p>
        </w:tc>
        <w:tc>
          <w:tcPr>
            <w:tcW w:w="1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For Further Details</w:t>
            </w:r>
          </w:p>
        </w:tc>
      </w:tr>
      <w:tr>
        <w:trPr/>
        <w:tc>
          <w:tcPr>
            <w:tcW w:w="466"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4"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46C8"/>
                <w:sz w:val="50"/>
              </w:rPr>
            </w:pPr>
            <w:r>
              <w:rPr>
                <w:rFonts w:ascii="Lato Bold;sans-serif" w:hAnsi="Lato Bold;sans-serif"/>
                <w:b/>
                <w:color w:val="0046C8"/>
                <w:sz w:val="50"/>
              </w:rPr>
              <w:t>1</w:t>
            </w:r>
          </w:p>
        </w:tc>
        <w:tc>
          <w:tcPr>
            <w:tcW w:w="534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Elect as directors the thirteen nominees named in the accompanying proxy statement</w:t>
            </w:r>
          </w:p>
        </w:tc>
        <w:tc>
          <w:tcPr>
            <w:tcW w:w="2735"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color w:val="0046C8"/>
              </w:rPr>
              <w:t>“</w:t>
            </w:r>
            <w:r>
              <w:rPr>
                <w:rFonts w:ascii="Lato Bold;sans-serif" w:hAnsi="Lato Bold;sans-serif"/>
                <w:b/>
                <w:color w:val="0046C8"/>
                <w:sz w:val="19"/>
              </w:rPr>
              <w:t>FOR”</w:t>
            </w:r>
            <w:r>
              <w:rPr>
                <w:color w:val="000000"/>
              </w:rPr>
              <w:t xml:space="preserve"> </w:t>
            </w:r>
            <w:r>
              <w:rPr>
                <w:rFonts w:ascii="Lato;sans-serif" w:hAnsi="Lato;sans-serif"/>
                <w:b w:val="false"/>
                <w:color w:val="000000"/>
                <w:sz w:val="19"/>
              </w:rPr>
              <w:t>each director nominee</w:t>
            </w:r>
          </w:p>
        </w:tc>
        <w:tc>
          <w:tcPr>
            <w:tcW w:w="1660"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rFonts w:ascii="Lato;sans-serif" w:hAnsi="Lato;sans-serif"/>
                <w:b w:val="false"/>
                <w:color w:val="000000"/>
                <w:sz w:val="19"/>
              </w:rPr>
              <w:t xml:space="preserve">Page </w:t>
            </w:r>
            <w:hyperlink w:anchor="i00769f51dfdb44b384777a5117e5dd26_91">
              <w:r>
                <w:rPr>
                  <w:rStyle w:val="InternetLink"/>
                  <w:rFonts w:ascii="Lato Bold;sans-serif" w:hAnsi="Lato Bold;sans-serif"/>
                  <w:b/>
                  <w:strike w:val="false"/>
                  <w:dstrike w:val="false"/>
                  <w:color w:val="0046C8"/>
                  <w:sz w:val="19"/>
                  <w:u w:val="none"/>
                  <w:effect w:val="none"/>
                </w:rPr>
                <w:t>27</w:t>
              </w:r>
            </w:hyperlink>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46C8"/>
                <w:sz w:val="50"/>
              </w:rPr>
            </w:pPr>
            <w:r>
              <w:rPr>
                <w:rFonts w:ascii="Lato Bold;sans-serif" w:hAnsi="Lato Bold;sans-serif"/>
                <w:b/>
                <w:color w:val="0046C8"/>
                <w:sz w:val="50"/>
              </w:rPr>
              <w:t>2</w:t>
            </w:r>
          </w:p>
        </w:tc>
        <w:tc>
          <w:tcPr>
            <w:tcW w:w="534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Ratify the selection of Deloitte &amp; Touche LLP as our independent auditor for 2025</w:t>
            </w:r>
          </w:p>
        </w:tc>
        <w:tc>
          <w:tcPr>
            <w:tcW w:w="27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46C8"/>
              </w:rPr>
            </w:pPr>
            <w:r>
              <w:rPr>
                <w:color w:val="0046C8"/>
              </w:rPr>
              <w:t>“</w:t>
            </w:r>
            <w:r>
              <w:rPr>
                <w:rFonts w:ascii="Lato Bold;sans-serif" w:hAnsi="Lato Bold;sans-serif"/>
                <w:b/>
                <w:color w:val="0046C8"/>
                <w:sz w:val="19"/>
              </w:rPr>
              <w:t>FOR”</w:t>
            </w:r>
          </w:p>
        </w:tc>
        <w:tc>
          <w:tcPr>
            <w:tcW w:w="1660"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rFonts w:ascii="Lato;sans-serif" w:hAnsi="Lato;sans-serif"/>
                <w:b w:val="false"/>
                <w:color w:val="000000"/>
                <w:sz w:val="19"/>
              </w:rPr>
              <w:t xml:space="preserve">Page </w:t>
            </w:r>
            <w:hyperlink w:anchor="i00769f51dfdb44b384777a5117e5dd26_115">
              <w:r>
                <w:rPr>
                  <w:rStyle w:val="InternetLink"/>
                  <w:rFonts w:ascii="Lato Bold;sans-serif" w:hAnsi="Lato Bold;sans-serif"/>
                  <w:b/>
                  <w:strike w:val="false"/>
                  <w:dstrike w:val="false"/>
                  <w:color w:val="0046C8"/>
                  <w:sz w:val="19"/>
                  <w:u w:val="none"/>
                  <w:effect w:val="none"/>
                </w:rPr>
                <w:t>46</w:t>
              </w:r>
            </w:hyperlink>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46C8"/>
                <w:sz w:val="50"/>
              </w:rPr>
            </w:pPr>
            <w:r>
              <w:rPr>
                <w:rFonts w:ascii="Lato Bold;sans-serif" w:hAnsi="Lato Bold;sans-serif"/>
                <w:b/>
                <w:color w:val="0046C8"/>
                <w:sz w:val="50"/>
              </w:rPr>
              <w:t>3</w:t>
            </w:r>
          </w:p>
        </w:tc>
        <w:tc>
          <w:tcPr>
            <w:tcW w:w="5344"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Approve the compensation for our named executive officers in an advisory vote</w:t>
            </w:r>
          </w:p>
        </w:tc>
        <w:tc>
          <w:tcPr>
            <w:tcW w:w="27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46C8"/>
              </w:rPr>
            </w:pPr>
            <w:r>
              <w:rPr>
                <w:color w:val="0046C8"/>
              </w:rPr>
              <w:t>“</w:t>
            </w:r>
            <w:r>
              <w:rPr>
                <w:rFonts w:ascii="Lato Bold;sans-serif" w:hAnsi="Lato Bold;sans-serif"/>
                <w:b/>
                <w:color w:val="0046C8"/>
                <w:sz w:val="19"/>
              </w:rPr>
              <w:t>FOR”</w:t>
            </w:r>
          </w:p>
        </w:tc>
        <w:tc>
          <w:tcPr>
            <w:tcW w:w="1660"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rFonts w:ascii="Lato;sans-serif" w:hAnsi="Lato;sans-serif"/>
                <w:b w:val="false"/>
                <w:color w:val="000000"/>
                <w:sz w:val="19"/>
              </w:rPr>
              <w:t xml:space="preserve">Page </w:t>
            </w:r>
            <w:hyperlink w:anchor="i00769f51dfdb44b384777a5117e5dd26_127">
              <w:r>
                <w:rPr>
                  <w:rStyle w:val="InternetLink"/>
                  <w:rFonts w:ascii="Lato Bold;sans-serif" w:hAnsi="Lato Bold;sans-serif"/>
                  <w:b/>
                  <w:strike w:val="false"/>
                  <w:dstrike w:val="false"/>
                  <w:color w:val="0046C8"/>
                  <w:sz w:val="19"/>
                  <w:u w:val="none"/>
                  <w:effect w:val="none"/>
                </w:rPr>
                <w:t>49</w:t>
              </w:r>
            </w:hyperlink>
          </w:p>
        </w:tc>
      </w:tr>
      <w:tr>
        <w:trPr/>
        <w:tc>
          <w:tcPr>
            <w:tcW w:w="466"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44"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Stockholders will take action upon any other business that may properly come before the meeting.</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accompanying proxy statement also is being used to solicit voting instructions for shares of Kimberly-Clark common stock that are held by the trustees of our employee benefit and share purchase plans for the benefit of the participants in the plans. It is important that participants in the plans indicate their voting preferences by using the Internet or telephone or by signing, dating and returning the voting instruction card, which is enclosed with the proxy statement, in the envelope provided.</w:t>
      </w:r>
    </w:p>
    <w:p>
      <w:pPr>
        <w:pStyle w:val="TextBody"/>
        <w:bidi w:val="0"/>
        <w:spacing w:lineRule="auto" w:line="312" w:before="120" w:after="120"/>
        <w:jc w:val="left"/>
        <w:rPr/>
      </w:pPr>
      <w:r>
        <w:rPr>
          <w:rFonts w:ascii="Lato;sans-serif" w:hAnsi="Lato;sans-serif"/>
          <w:b w:val="false"/>
          <w:color w:val="000000"/>
          <w:sz w:val="19"/>
        </w:rPr>
        <w:t xml:space="preserve">To attend the virtual meeting, please follow the instructions on page </w:t>
      </w:r>
      <w:hyperlink w:anchor="i00769f51dfdb44b384777a5117e5dd26_238">
        <w:r>
          <w:rPr>
            <w:rStyle w:val="InternetLink"/>
            <w:rFonts w:ascii="Lato;sans-serif" w:hAnsi="Lato;sans-serif"/>
            <w:b w:val="false"/>
            <w:strike w:val="false"/>
            <w:dstrike w:val="false"/>
            <w:color w:val="000000"/>
            <w:sz w:val="19"/>
            <w:u w:val="none"/>
            <w:effect w:val="none"/>
          </w:rPr>
          <w:t>98</w:t>
        </w:r>
      </w:hyperlink>
      <w:r>
        <w:rPr>
          <w:rFonts w:ascii="Lato;sans-serif" w:hAnsi="Lato;sans-serif"/>
          <w:b w:val="false"/>
          <w:color w:val="000000"/>
          <w:sz w:val="19"/>
        </w:rPr>
        <w: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By Order of the Board of Directors.</w:t>
      </w:r>
    </w:p>
    <w:p>
      <w:pPr>
        <w:pStyle w:val="TextBody"/>
        <w:bidi w:val="0"/>
        <w:spacing w:before="500" w:after="283"/>
        <w:jc w:val="left"/>
        <w:rPr/>
      </w:pPr>
      <w:r>
        <w:rPr/>
        <w:drawing>
          <wp:inline distT="0" distB="0" distL="0" distR="0">
            <wp:extent cx="828675" cy="45720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828675" cy="457200"/>
                    </a:xfrm>
                    <a:prstGeom prst="rect">
                      <a:avLst/>
                    </a:prstGeom>
                  </pic:spPr>
                </pic:pic>
              </a:graphicData>
            </a:graphic>
          </wp:inline>
        </w:drawing>
      </w:r>
    </w:p>
    <w:p>
      <w:pPr>
        <w:pStyle w:val="TextBody"/>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Grant B. McGee</w:t>
      </w:r>
    </w:p>
    <w:p>
      <w:pPr>
        <w:pStyle w:val="TextBody"/>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Senior Vice President, General Counsel</w:t>
        <w:br/>
        <w:t>and Corporate Secretary</w:t>
      </w:r>
    </w:p>
    <w:p>
      <w:pPr>
        <w:pStyle w:val="TextBody"/>
        <w:bidi w:val="0"/>
        <w:spacing w:lineRule="auto" w:line="312" w:before="0" w:after="320"/>
        <w:jc w:val="left"/>
        <w:rPr>
          <w:rFonts w:ascii="Lato;sans-serif" w:hAnsi="Lato;sans-serif"/>
          <w:b w:val="false"/>
          <w:color w:val="000000"/>
          <w:sz w:val="19"/>
        </w:rPr>
      </w:pPr>
      <w:r>
        <w:rPr>
          <w:rFonts w:ascii="Lato;sans-serif" w:hAnsi="Lato;sans-serif"/>
          <w:b w:val="false"/>
          <w:color w:val="000000"/>
          <w:sz w:val="19"/>
        </w:rPr>
        <w:t>March 10, 2025</w:t>
      </w:r>
    </w:p>
    <w:tbl>
      <w:tblPr>
        <w:tblW w:w="10205" w:type="dxa"/>
        <w:jc w:val="left"/>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46C8"/>
              <w:left w:val="single" w:sz="8" w:space="0" w:color="0046C8"/>
              <w:right w:val="single" w:sz="8" w:space="0" w:color="0046C8"/>
            </w:tcBorders>
            <w:tcMar>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0046C8"/>
              <w:right w:val="single" w:sz="8" w:space="0" w:color="0046C8"/>
            </w:tcBorders>
            <w:tcMar>
              <w:top w:w="0" w:type="dxa"/>
              <w:bottom w:w="0" w:type="dxa"/>
            </w:tcMar>
            <w:vAlign w:val="center"/>
          </w:tcPr>
          <w:p>
            <w:pPr>
              <w:pStyle w:val="TableContents"/>
              <w:bidi w:val="0"/>
              <w:spacing w:lineRule="auto" w:line="312" w:before="120" w:after="120"/>
              <w:jc w:val="left"/>
              <w:rPr>
                <w:rFonts w:ascii="Lato Bold;sans-serif" w:hAnsi="Lato Bold;sans-serif"/>
                <w:b/>
                <w:color w:val="000000"/>
                <w:sz w:val="19"/>
              </w:rPr>
            </w:pPr>
            <w:r>
              <w:rPr>
                <w:rFonts w:ascii="Lato Bold;sans-serif" w:hAnsi="Lato Bold;sans-serif"/>
                <w:b/>
                <w:color w:val="000000"/>
                <w:sz w:val="19"/>
              </w:rPr>
              <w:t>Important Notice Regarding the Availability of Proxy Materials for the Stockholder Meeting to be Held on May 1, 2025: The Proxy Statement and proxy card, as well as our Annual Report on Form 10-K for the year ended December 31, 2024, are available at investor.kimberly-clark.com.</w:t>
            </w:r>
          </w:p>
        </w:tc>
      </w:tr>
      <w:tr>
        <w:trPr/>
        <w:tc>
          <w:tcPr>
            <w:tcW w:w="10205" w:type="dxa"/>
            <w:gridSpan w:val="3"/>
            <w:tcBorders>
              <w:left w:val="single" w:sz="8" w:space="0" w:color="0046C8"/>
              <w:bottom w:val="single" w:sz="8" w:space="0" w:color="0046C8"/>
              <w:right w:val="single" w:sz="8" w:space="0" w:color="0046C8"/>
            </w:tcBorders>
            <w:tcMar>
              <w:top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629920"/>
                <wp:effectExtent l="0" t="0" r="0" b="0"/>
                <wp:wrapNone/>
                <wp:docPr id="18" name="Frame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47" w:type="dxa"/>
                              <w:jc w:val="right"/>
                              <w:tblInd w:w="0" w:type="dxa"/>
                              <w:tblLayout w:type="fixed"/>
                              <w:tblCellMar>
                                <w:top w:w="28" w:type="dxa"/>
                                <w:left w:w="28" w:type="dxa"/>
                                <w:bottom w:w="28" w:type="dxa"/>
                                <w:right w:w="28" w:type="dxa"/>
                              </w:tblCellMar>
                            </w:tblPr>
                            <w:tblGrid>
                              <w:gridCol w:w="787"/>
                              <w:gridCol w:w="692"/>
                              <w:gridCol w:w="696"/>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47" w:type="dxa"/>
                        <w:jc w:val="right"/>
                        <w:tblInd w:w="0" w:type="dxa"/>
                        <w:tblLayout w:type="fixed"/>
                        <w:tblCellMar>
                          <w:top w:w="28" w:type="dxa"/>
                          <w:left w:w="28" w:type="dxa"/>
                          <w:bottom w:w="28" w:type="dxa"/>
                          <w:right w:w="28" w:type="dxa"/>
                        </w:tblCellMar>
                      </w:tblPr>
                      <w:tblGrid>
                        <w:gridCol w:w="787"/>
                        <w:gridCol w:w="692"/>
                        <w:gridCol w:w="696"/>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1</w:t>
                            </w:r>
                          </w:p>
                        </w:tc>
                      </w:tr>
                    </w:tbl>
                    <w:p>
                      <w:pPr>
                        <w:pStyle w:val="TextBody"/>
                        <w:bidi w:val="0"/>
                        <w:spacing w:before="0" w:after="283"/>
                        <w:jc w:val="left"/>
                        <w:rPr/>
                      </w:pPr>
                      <w:r>
                        <w:rPr/>
                      </w:r>
                    </w:p>
                  </w:txbxContent>
                </v:textbox>
                <w10:wrap type="none"/>
              </v:rect>
            </w:pict>
          </mc:Fallback>
        </mc:AlternateContent>
      </w:r>
    </w:p>
    <w:tbl>
      <w:tblPr>
        <w:tblW w:w="893" w:type="dxa"/>
        <w:jc w:val="left"/>
        <w:tblInd w:w="0" w:type="dxa"/>
        <w:tblLayout w:type="fixed"/>
        <w:tblCellMar>
          <w:top w:w="28" w:type="dxa"/>
          <w:left w:w="28" w:type="dxa"/>
          <w:bottom w:w="28" w:type="dxa"/>
          <w:right w:w="28" w:type="dxa"/>
        </w:tblCellMar>
      </w:tblPr>
      <w:tblGrid>
        <w:gridCol w:w="124"/>
        <w:gridCol w:w="109"/>
        <w:gridCol w:w="109"/>
        <w:gridCol w:w="161"/>
        <w:gridCol w:w="161"/>
        <w:gridCol w:w="2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3"/>
                          <a:stretch>
                            <a:fillRect/>
                          </a:stretch>
                        </pic:blipFill>
                        <pic:spPr bwMode="auto">
                          <a:xfrm>
                            <a:off x="0" y="0"/>
                            <a:ext cx="228600" cy="180975"/>
                          </a:xfrm>
                          <a:prstGeom prst="rect">
                            <a:avLst/>
                          </a:prstGeom>
                        </pic:spPr>
                      </pic:pic>
                    </a:graphicData>
                  </a:graphic>
                </wp:inline>
              </w:drawing>
            </w:r>
            <w:r>
              <w:rPr>
                <w:color w:val="000000"/>
              </w:rPr>
              <w:t> </w:t>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120"/>
        <w:jc w:val="left"/>
        <w:rPr>
          <w:rFonts w:ascii="Lato;sans-serif" w:hAnsi="Lato;sans-serif"/>
          <w:b w:val="false"/>
          <w:color w:val="0046C8"/>
          <w:sz w:val="48"/>
        </w:rPr>
      </w:pPr>
      <w:r>
        <w:rPr>
          <w:rFonts w:ascii="Lato;sans-serif" w:hAnsi="Lato;sans-serif"/>
          <w:b w:val="false"/>
          <w:color w:val="0046C8"/>
          <w:sz w:val="48"/>
        </w:rPr>
        <w:t>Table of Contents</w:t>
      </w:r>
    </w:p>
    <w:tbl>
      <w:tblPr>
        <w:tblW w:w="10205" w:type="dxa"/>
        <w:jc w:val="left"/>
        <w:tblInd w:w="0" w:type="dxa"/>
        <w:tblLayout w:type="fixed"/>
        <w:tblCellMar>
          <w:top w:w="28" w:type="dxa"/>
          <w:left w:w="28" w:type="dxa"/>
          <w:bottom w:w="28" w:type="dxa"/>
          <w:right w:w="28" w:type="dxa"/>
        </w:tblCellMar>
      </w:tblPr>
      <w:tblGrid>
        <w:gridCol w:w="2791"/>
        <w:gridCol w:w="2306"/>
        <w:gridCol w:w="2181"/>
        <w:gridCol w:w="828"/>
        <w:gridCol w:w="828"/>
        <w:gridCol w:w="846"/>
        <w:gridCol w:w="122"/>
        <w:gridCol w:w="122"/>
        <w:gridCol w:w="181"/>
      </w:tblGrid>
      <w:tr>
        <w:trPr/>
        <w:tc>
          <w:tcPr>
            <w:tcW w:w="2791"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9">
              <w:r>
                <w:rPr>
                  <w:rStyle w:val="InternetLink"/>
                  <w:rFonts w:ascii="Lato Bold;sans-serif" w:hAnsi="Lato Bold;sans-serif"/>
                  <w:b/>
                  <w:strike w:val="false"/>
                  <w:dstrike w:val="false"/>
                  <w:color w:val="000000"/>
                  <w:sz w:val="19"/>
                  <w:u w:val="none"/>
                  <w:effect w:val="none"/>
                </w:rPr>
                <w:t>Notice of Annual Meeting of Stockholders</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9">
              <w:r>
                <w:rPr>
                  <w:rStyle w:val="InternetLink"/>
                  <w:rFonts w:ascii="Lato Bold;sans-serif" w:hAnsi="Lato Bold;sans-serif"/>
                  <w:b/>
                  <w:strike w:val="false"/>
                  <w:dstrike w:val="false"/>
                  <w:color w:val="000000"/>
                  <w:sz w:val="19"/>
                  <w:u w:val="none"/>
                  <w:effect w:val="none"/>
                </w:rPr>
                <w:t>1</w:t>
              </w:r>
            </w:hyperlink>
          </w:p>
        </w:tc>
      </w:tr>
      <w:tr>
        <w:trPr/>
        <w:tc>
          <w:tcPr>
            <w:tcW w:w="7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5">
              <w:r>
                <w:rPr>
                  <w:rStyle w:val="InternetLink"/>
                  <w:rFonts w:ascii="Lato Bold;sans-serif" w:hAnsi="Lato Bold;sans-serif"/>
                  <w:b/>
                  <w:strike w:val="false"/>
                  <w:dstrike w:val="false"/>
                  <w:color w:val="000000"/>
                  <w:sz w:val="19"/>
                  <w:u w:val="none"/>
                  <w:effect w:val="none"/>
                </w:rPr>
                <w:t>Proxy Summary</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5">
              <w:r>
                <w:rPr>
                  <w:rStyle w:val="InternetLink"/>
                  <w:rFonts w:ascii="Lato Bold;sans-serif" w:hAnsi="Lato Bold;sans-serif"/>
                  <w:b/>
                  <w:strike w:val="false"/>
                  <w:dstrike w:val="false"/>
                  <w:color w:val="000000"/>
                  <w:sz w:val="19"/>
                  <w:u w:val="none"/>
                  <w:effect w:val="none"/>
                </w:rPr>
                <w:t>4</w:t>
              </w:r>
            </w:hyperlink>
          </w:p>
        </w:tc>
      </w:tr>
      <w:tr>
        <w:trPr/>
        <w:tc>
          <w:tcPr>
            <w:tcW w:w="7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12" w:before="0" w:after="0"/>
              <w:jc w:val="left"/>
              <w:rPr/>
            </w:pPr>
            <w:hyperlink w:anchor="i00769f51dfdb44b384777a5117e5dd26_28">
              <w:r>
                <w:rPr>
                  <w:rStyle w:val="InternetLink"/>
                  <w:rFonts w:ascii="Lato Bold;sans-serif" w:hAnsi="Lato Bold;sans-serif"/>
                  <w:b/>
                  <w:strike w:val="false"/>
                  <w:dstrike w:val="false"/>
                  <w:color w:val="000000"/>
                  <w:sz w:val="19"/>
                  <w:u w:val="none"/>
                  <w:effect w:val="none"/>
                </w:rPr>
                <w:t>Corporate Governance</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8">
              <w:r>
                <w:rPr>
                  <w:rStyle w:val="InternetLink"/>
                  <w:rFonts w:ascii="Lato Bold;sans-serif" w:hAnsi="Lato Bold;sans-serif"/>
                  <w:b w:val="false"/>
                  <w:strike w:val="false"/>
                  <w:dstrike w:val="false"/>
                  <w:color w:val="000000"/>
                  <w:sz w:val="19"/>
                  <w:u w:val="none"/>
                  <w:effect w:val="none"/>
                </w:rPr>
                <w:t>11</w:t>
              </w:r>
            </w:hyperlink>
          </w:p>
        </w:tc>
      </w:tr>
      <w:tr>
        <w:trPr/>
        <w:tc>
          <w:tcPr>
            <w:tcW w:w="97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pPr>
            <w:hyperlink w:anchor="i00769f51dfdb44b384777a5117e5dd26_31">
              <w:r>
                <w:rPr>
                  <w:rStyle w:val="InternetLink"/>
                  <w:rFonts w:ascii="Lato;sans-serif" w:hAnsi="Lato;sans-serif"/>
                  <w:b w:val="false"/>
                  <w:strike w:val="false"/>
                  <w:dstrike w:val="false"/>
                  <w:color w:val="000000"/>
                  <w:sz w:val="19"/>
                  <w:u w:val="none"/>
                  <w:effect w:val="none"/>
                </w:rPr>
                <w:t>Board Leadership Structure</w:t>
              </w:r>
            </w:hyperlink>
          </w:p>
        </w:tc>
        <w:tc>
          <w:tcPr>
            <w:tcW w:w="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pPr>
            <w:hyperlink w:anchor="i00769f51dfdb44b384777a5117e5dd26_31">
              <w:r>
                <w:rPr>
                  <w:rStyle w:val="InternetLink"/>
                  <w:rFonts w:ascii="Lato;sans-serif" w:hAnsi="Lato;sans-serif"/>
                  <w:b w:val="false"/>
                  <w:strike w:val="false"/>
                  <w:dstrike w:val="false"/>
                  <w:color w:val="000000"/>
                  <w:sz w:val="19"/>
                  <w:u w:val="none"/>
                  <w:effect w:val="none"/>
                </w:rPr>
                <w:t>11</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34">
              <w:r>
                <w:rPr>
                  <w:rStyle w:val="InternetLink"/>
                  <w:rFonts w:ascii="Lato;sans-serif" w:hAnsi="Lato;sans-serif"/>
                  <w:b w:val="false"/>
                  <w:strike w:val="false"/>
                  <w:dstrike w:val="false"/>
                  <w:color w:val="000000"/>
                  <w:sz w:val="19"/>
                  <w:u w:val="none"/>
                  <w:effect w:val="none"/>
                </w:rPr>
                <w:t>Director Independence</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34">
              <w:r>
                <w:rPr>
                  <w:rStyle w:val="InternetLink"/>
                  <w:rFonts w:ascii="Lato;sans-serif" w:hAnsi="Lato;sans-serif"/>
                  <w:b w:val="false"/>
                  <w:strike w:val="false"/>
                  <w:dstrike w:val="false"/>
                  <w:color w:val="000000"/>
                  <w:sz w:val="19"/>
                  <w:u w:val="none"/>
                  <w:effect w:val="none"/>
                </w:rPr>
                <w:t>12</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37">
              <w:r>
                <w:rPr>
                  <w:rStyle w:val="InternetLink"/>
                  <w:rFonts w:ascii="Lato;sans-serif" w:hAnsi="Lato;sans-serif"/>
                  <w:b w:val="false"/>
                  <w:strike w:val="false"/>
                  <w:dstrike w:val="false"/>
                  <w:color w:val="000000"/>
                  <w:sz w:val="19"/>
                  <w:u w:val="none"/>
                  <w:effect w:val="none"/>
                </w:rPr>
                <w:t>Board Meetings</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37">
              <w:r>
                <w:rPr>
                  <w:rStyle w:val="InternetLink"/>
                  <w:rFonts w:ascii="Lato;sans-serif" w:hAnsi="Lato;sans-serif"/>
                  <w:b w:val="false"/>
                  <w:strike w:val="false"/>
                  <w:dstrike w:val="false"/>
                  <w:color w:val="000000"/>
                  <w:sz w:val="19"/>
                  <w:u w:val="none"/>
                  <w:effect w:val="none"/>
                </w:rPr>
                <w:t>12</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40">
              <w:r>
                <w:rPr>
                  <w:rStyle w:val="InternetLink"/>
                  <w:rFonts w:ascii="Lato;sans-serif" w:hAnsi="Lato;sans-serif"/>
                  <w:b w:val="false"/>
                  <w:strike w:val="false"/>
                  <w:dstrike w:val="false"/>
                  <w:color w:val="000000"/>
                  <w:sz w:val="19"/>
                  <w:u w:val="none"/>
                  <w:effect w:val="none"/>
                </w:rPr>
                <w:t>Board Committees</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40">
              <w:r>
                <w:rPr>
                  <w:rStyle w:val="InternetLink"/>
                  <w:rFonts w:ascii="Lato;sans-serif" w:hAnsi="Lato;sans-serif"/>
                  <w:b w:val="false"/>
                  <w:strike w:val="false"/>
                  <w:dstrike w:val="false"/>
                  <w:color w:val="000000"/>
                  <w:sz w:val="19"/>
                  <w:u w:val="none"/>
                  <w:effect w:val="none"/>
                </w:rPr>
                <w:t>12</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58">
              <w:r>
                <w:rPr>
                  <w:rStyle w:val="InternetLink"/>
                  <w:rFonts w:ascii="Lato;sans-serif" w:hAnsi="Lato;sans-serif"/>
                  <w:b w:val="false"/>
                  <w:strike w:val="false"/>
                  <w:dstrike w:val="false"/>
                  <w:color w:val="000000"/>
                  <w:sz w:val="19"/>
                  <w:u w:val="none"/>
                  <w:effect w:val="none"/>
                </w:rPr>
                <w:t>Compensation Committee Interlocks and Insider Participation</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58">
              <w:r>
                <w:rPr>
                  <w:rStyle w:val="InternetLink"/>
                  <w:rFonts w:ascii="Lato;sans-serif" w:hAnsi="Lato;sans-serif"/>
                  <w:b w:val="false"/>
                  <w:strike w:val="false"/>
                  <w:dstrike w:val="false"/>
                  <w:color w:val="000000"/>
                  <w:sz w:val="19"/>
                  <w:u w:val="none"/>
                  <w:effect w:val="none"/>
                </w:rPr>
                <w:t>18</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61">
              <w:r>
                <w:rPr>
                  <w:rStyle w:val="InternetLink"/>
                  <w:rFonts w:ascii="Lato;sans-serif" w:hAnsi="Lato;sans-serif"/>
                  <w:b w:val="false"/>
                  <w:strike w:val="false"/>
                  <w:dstrike w:val="false"/>
                  <w:color w:val="000000"/>
                  <w:sz w:val="19"/>
                  <w:u w:val="none"/>
                  <w:effect w:val="none"/>
                </w:rPr>
                <w:t>Stockholder Rights</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61">
              <w:r>
                <w:rPr>
                  <w:rStyle w:val="InternetLink"/>
                  <w:rFonts w:ascii="Lato;sans-serif" w:hAnsi="Lato;sans-serif"/>
                  <w:b w:val="false"/>
                  <w:strike w:val="false"/>
                  <w:dstrike w:val="false"/>
                  <w:color w:val="000000"/>
                  <w:sz w:val="19"/>
                  <w:u w:val="none"/>
                  <w:effect w:val="none"/>
                </w:rPr>
                <w:t>18</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64">
              <w:r>
                <w:rPr>
                  <w:rStyle w:val="InternetLink"/>
                  <w:rFonts w:ascii="Lato;sans-serif" w:hAnsi="Lato;sans-serif"/>
                  <w:b w:val="false"/>
                  <w:strike w:val="false"/>
                  <w:dstrike w:val="false"/>
                  <w:color w:val="000000"/>
                  <w:sz w:val="19"/>
                  <w:u w:val="none"/>
                  <w:effect w:val="none"/>
                </w:rPr>
                <w:t>Communicating with Directors; Stockholder Engagement Policy</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64">
              <w:r>
                <w:rPr>
                  <w:rStyle w:val="InternetLink"/>
                  <w:rFonts w:ascii="Lato;sans-serif" w:hAnsi="Lato;sans-serif"/>
                  <w:b w:val="false"/>
                  <w:strike w:val="false"/>
                  <w:dstrike w:val="false"/>
                  <w:color w:val="000000"/>
                  <w:sz w:val="19"/>
                  <w:u w:val="none"/>
                  <w:effect w:val="none"/>
                </w:rPr>
                <w:t>18</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67">
              <w:r>
                <w:rPr>
                  <w:rStyle w:val="InternetLink"/>
                  <w:rFonts w:ascii="Lato;sans-serif" w:hAnsi="Lato;sans-serif"/>
                  <w:b w:val="false"/>
                  <w:strike w:val="false"/>
                  <w:dstrike w:val="false"/>
                  <w:color w:val="000000"/>
                  <w:sz w:val="19"/>
                  <w:u w:val="none"/>
                  <w:effect w:val="none"/>
                </w:rPr>
                <w:t>Stockholder Engagement</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67">
              <w:r>
                <w:rPr>
                  <w:rStyle w:val="InternetLink"/>
                  <w:rFonts w:ascii="Lato;sans-serif" w:hAnsi="Lato;sans-serif"/>
                  <w:b w:val="false"/>
                  <w:strike w:val="false"/>
                  <w:dstrike w:val="false"/>
                  <w:color w:val="000000"/>
                  <w:sz w:val="19"/>
                  <w:u w:val="none"/>
                  <w:effect w:val="none"/>
                </w:rPr>
                <w:t>19</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70">
              <w:r>
                <w:rPr>
                  <w:rStyle w:val="InternetLink"/>
                  <w:rFonts w:ascii="Lato;sans-serif" w:hAnsi="Lato;sans-serif"/>
                  <w:b w:val="false"/>
                  <w:strike w:val="false"/>
                  <w:dstrike w:val="false"/>
                  <w:color w:val="000000"/>
                  <w:sz w:val="19"/>
                  <w:u w:val="none"/>
                  <w:effect w:val="none"/>
                </w:rPr>
                <w:t>Our Approach to Sustainability</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70">
              <w:r>
                <w:rPr>
                  <w:rStyle w:val="InternetLink"/>
                  <w:rFonts w:ascii="Lato;sans-serif" w:hAnsi="Lato;sans-serif"/>
                  <w:b w:val="false"/>
                  <w:strike w:val="false"/>
                  <w:dstrike w:val="false"/>
                  <w:color w:val="000000"/>
                  <w:sz w:val="19"/>
                  <w:u w:val="none"/>
                  <w:effect w:val="none"/>
                </w:rPr>
                <w:t>20</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85">
              <w:r>
                <w:rPr>
                  <w:rStyle w:val="InternetLink"/>
                  <w:rFonts w:ascii="Lato;sans-serif" w:hAnsi="Lato;sans-serif"/>
                  <w:b w:val="false"/>
                  <w:strike w:val="false"/>
                  <w:dstrike w:val="false"/>
                  <w:color w:val="000080"/>
                  <w:sz w:val="19"/>
                  <w:u w:val="single"/>
                  <w:effect w:val="none"/>
                </w:rPr>
                <w:t>Inclusion</w:t>
              </w:r>
            </w:hyperlink>
            <w:hyperlink w:anchor="i00769f51dfdb44b384777a5117e5dd26_85">
              <w:r>
                <w:rPr>
                  <w:rStyle w:val="InternetLink"/>
                  <w:rFonts w:ascii="Lato;sans-serif" w:hAnsi="Lato;sans-serif"/>
                  <w:b w:val="false"/>
                  <w:strike w:val="false"/>
                  <w:dstrike w:val="false"/>
                  <w:color w:val="000080"/>
                  <w:sz w:val="19"/>
                  <w:u w:val="single"/>
                  <w:effect w:val="none"/>
                </w:rPr>
                <w:t xml:space="preserve"> &amp; Belonging</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85">
              <w:r>
                <w:rPr>
                  <w:rStyle w:val="InternetLink"/>
                  <w:rFonts w:ascii="Lato;sans-serif" w:hAnsi="Lato;sans-serif"/>
                  <w:b w:val="false"/>
                  <w:strike w:val="false"/>
                  <w:dstrike w:val="false"/>
                  <w:color w:val="000000"/>
                  <w:sz w:val="19"/>
                  <w:u w:val="none"/>
                  <w:effect w:val="none"/>
                </w:rPr>
                <w:t>23</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88">
              <w:r>
                <w:rPr>
                  <w:rStyle w:val="InternetLink"/>
                  <w:rFonts w:ascii="Lato;sans-serif" w:hAnsi="Lato;sans-serif"/>
                  <w:b w:val="false"/>
                  <w:strike w:val="false"/>
                  <w:dstrike w:val="false"/>
                  <w:color w:val="000000"/>
                  <w:sz w:val="19"/>
                  <w:u w:val="none"/>
                  <w:effect w:val="none"/>
                </w:rPr>
                <w:t>Other Corporate Governance Policies and Practices</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88">
              <w:r>
                <w:rPr>
                  <w:rStyle w:val="InternetLink"/>
                  <w:rFonts w:ascii="Lato;sans-serif" w:hAnsi="Lato;sans-serif"/>
                  <w:b w:val="false"/>
                  <w:strike w:val="false"/>
                  <w:dstrike w:val="false"/>
                  <w:color w:val="000000"/>
                  <w:sz w:val="19"/>
                  <w:u w:val="none"/>
                  <w:effect w:val="none"/>
                </w:rPr>
                <w:t>23</w:t>
              </w:r>
            </w:hyperlink>
          </w:p>
        </w:tc>
      </w:tr>
      <w:tr>
        <w:trPr/>
        <w:tc>
          <w:tcPr>
            <w:tcW w:w="7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00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0046C8" w:val="clear"/>
            <w:tcMar>
              <w:top w:w="0" w:type="dxa"/>
              <w:left w:w="0" w:type="dxa"/>
              <w:bottom w:w="0" w:type="dxa"/>
              <w:right w:w="0" w:type="dxa"/>
            </w:tcMar>
            <w:vAlign w:val="center"/>
          </w:tcPr>
          <w:p>
            <w:pPr>
              <w:pStyle w:val="TableContents"/>
              <w:bidi w:val="0"/>
              <w:spacing w:lineRule="auto" w:line="288" w:before="0" w:after="0"/>
              <w:jc w:val="left"/>
              <w:rPr/>
            </w:pPr>
            <w:hyperlink w:anchor="i00769f51dfdb44b384777a5117e5dd26_91">
              <w:r>
                <w:rPr>
                  <w:rStyle w:val="InternetLink"/>
                  <w:rFonts w:ascii="Lato Bold;sans-serif" w:hAnsi="Lato Bold;sans-serif"/>
                  <w:b/>
                  <w:strike w:val="false"/>
                  <w:dstrike w:val="false"/>
                  <w:color w:val="FFFFFF"/>
                  <w:sz w:val="19"/>
                  <w:u w:val="none"/>
                  <w:effect w:val="none"/>
                </w:rPr>
                <w:t>PROPOSAL 1: Election of Directors</w:t>
              </w:r>
            </w:hyperlink>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91">
              <w:r>
                <w:rPr>
                  <w:rStyle w:val="InternetLink"/>
                  <w:rFonts w:ascii="Gilroy Bold;sans-serif" w:hAnsi="Gilroy Bold;sans-serif"/>
                  <w:b/>
                  <w:strike w:val="false"/>
                  <w:dstrike w:val="false"/>
                  <w:color w:val="0046C8"/>
                  <w:sz w:val="19"/>
                  <w:u w:val="none"/>
                  <w:effect w:val="none"/>
                </w:rPr>
                <w:t>27</w:t>
              </w:r>
            </w:hyperlink>
          </w:p>
        </w:tc>
      </w:tr>
      <w:tr>
        <w:trPr/>
        <w:tc>
          <w:tcPr>
            <w:tcW w:w="7278" w:type="dxa"/>
            <w:gridSpan w:val="3"/>
            <w:tcBorders/>
            <w:shd w:fill="00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00769f51dfdb44b384777a5117e5dd26_94">
              <w:r>
                <w:rPr>
                  <w:rStyle w:val="InternetLink"/>
                  <w:rFonts w:ascii="Lato;sans-serif" w:hAnsi="Lato;sans-serif"/>
                  <w:b w:val="false"/>
                  <w:strike w:val="false"/>
                  <w:dstrike w:val="false"/>
                  <w:color w:val="000000"/>
                  <w:sz w:val="19"/>
                  <w:u w:val="none"/>
                  <w:effect w:val="none"/>
                </w:rPr>
                <w:t>Process for Director Elections</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94">
              <w:r>
                <w:rPr>
                  <w:rStyle w:val="InternetLink"/>
                  <w:rFonts w:ascii="Lato;sans-serif" w:hAnsi="Lato;sans-serif"/>
                  <w:b w:val="false"/>
                  <w:strike w:val="false"/>
                  <w:dstrike w:val="false"/>
                  <w:color w:val="000000"/>
                  <w:sz w:val="19"/>
                  <w:u w:val="none"/>
                  <w:effect w:val="none"/>
                </w:rPr>
                <w:t>27</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320">
              <w:r>
                <w:rPr>
                  <w:rStyle w:val="InternetLink"/>
                  <w:rFonts w:ascii="Lato;sans-serif" w:hAnsi="Lato;sans-serif"/>
                  <w:b w:val="false"/>
                  <w:strike w:val="false"/>
                  <w:dstrike w:val="false"/>
                  <w:color w:val="000000"/>
                  <w:sz w:val="19"/>
                  <w:u w:val="none"/>
                  <w:effect w:val="none"/>
                </w:rPr>
                <w:t>Process and Criteria for Nominating Directors</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320">
              <w:r>
                <w:rPr>
                  <w:rStyle w:val="InternetLink"/>
                  <w:rFonts w:ascii="Lato;sans-serif" w:hAnsi="Lato;sans-serif"/>
                  <w:b w:val="false"/>
                  <w:strike w:val="false"/>
                  <w:dstrike w:val="false"/>
                  <w:color w:val="000000"/>
                  <w:sz w:val="19"/>
                  <w:u w:val="none"/>
                  <w:effect w:val="none"/>
                </w:rPr>
                <w:t>28</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00">
              <w:r>
                <w:rPr>
                  <w:rStyle w:val="InternetLink"/>
                  <w:rFonts w:ascii="Lato;sans-serif" w:hAnsi="Lato;sans-serif"/>
                  <w:b w:val="false"/>
                  <w:strike w:val="false"/>
                  <w:dstrike w:val="false"/>
                  <w:color w:val="000080"/>
                  <w:sz w:val="19"/>
                  <w:u w:val="single"/>
                  <w:effect w:val="none"/>
                </w:rPr>
                <w:t>Key</w:t>
              </w:r>
            </w:hyperlink>
            <w:hyperlink w:anchor="i00769f51dfdb44b384777a5117e5dd26_100">
              <w:r>
                <w:rPr>
                  <w:rStyle w:val="InternetLink"/>
                  <w:rFonts w:ascii="Lato;sans-serif" w:hAnsi="Lato;sans-serif"/>
                  <w:b w:val="false"/>
                  <w:strike w:val="false"/>
                  <w:dstrike w:val="false"/>
                  <w:color w:val="000080"/>
                  <w:sz w:val="19"/>
                  <w:u w:val="single"/>
                  <w:effect w:val="none"/>
                </w:rPr>
                <w:t xml:space="preserve"> Attributes of Current Directors</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00">
              <w:r>
                <w:rPr>
                  <w:rStyle w:val="InternetLink"/>
                  <w:rFonts w:ascii="Lato;sans-serif" w:hAnsi="Lato;sans-serif"/>
                  <w:b w:val="false"/>
                  <w:strike w:val="false"/>
                  <w:dstrike w:val="false"/>
                  <w:color w:val="000000"/>
                  <w:sz w:val="19"/>
                  <w:u w:val="none"/>
                  <w:effect w:val="none"/>
                </w:rPr>
                <w:t>30</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06">
              <w:r>
                <w:rPr>
                  <w:rStyle w:val="InternetLink"/>
                  <w:rFonts w:ascii="Lato;sans-serif" w:hAnsi="Lato;sans-serif"/>
                  <w:b w:val="false"/>
                  <w:strike w:val="false"/>
                  <w:dstrike w:val="false"/>
                  <w:color w:val="000000"/>
                  <w:sz w:val="19"/>
                  <w:u w:val="none"/>
                  <w:effect w:val="none"/>
                </w:rPr>
                <w:t>The Nominees</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06">
              <w:r>
                <w:rPr>
                  <w:rStyle w:val="InternetLink"/>
                  <w:rFonts w:ascii="Lato;sans-serif" w:hAnsi="Lato;sans-serif"/>
                  <w:b w:val="false"/>
                  <w:strike w:val="false"/>
                  <w:dstrike w:val="false"/>
                  <w:color w:val="000000"/>
                  <w:sz w:val="19"/>
                  <w:u w:val="none"/>
                  <w:effect w:val="none"/>
                </w:rPr>
                <w:t>31</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09">
              <w:r>
                <w:rPr>
                  <w:rStyle w:val="InternetLink"/>
                  <w:rFonts w:ascii="Lato;sans-serif" w:hAnsi="Lato;sans-serif"/>
                  <w:b w:val="false"/>
                  <w:strike w:val="false"/>
                  <w:dstrike w:val="false"/>
                  <w:color w:val="000000"/>
                  <w:sz w:val="19"/>
                  <w:u w:val="none"/>
                  <w:effect w:val="none"/>
                </w:rPr>
                <w:t>Director Compensation</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120" w:after="120"/>
              <w:jc w:val="right"/>
              <w:rPr/>
            </w:pPr>
            <w:hyperlink w:anchor="i00769f51dfdb44b384777a5117e5dd26_109">
              <w:r>
                <w:rPr>
                  <w:rStyle w:val="InternetLink"/>
                  <w:rFonts w:ascii="Lato;sans-serif" w:hAnsi="Lato;sans-serif"/>
                  <w:b w:val="false"/>
                  <w:strike w:val="false"/>
                  <w:dstrike w:val="false"/>
                  <w:color w:val="000000"/>
                  <w:sz w:val="19"/>
                  <w:u w:val="none"/>
                  <w:effect w:val="none"/>
                </w:rPr>
                <w:t>42</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12">
              <w:r>
                <w:rPr>
                  <w:rStyle w:val="InternetLink"/>
                  <w:rFonts w:ascii="Lato;sans-serif" w:hAnsi="Lato;sans-serif"/>
                  <w:b w:val="false"/>
                  <w:strike w:val="false"/>
                  <w:dstrike w:val="false"/>
                  <w:color w:val="000080"/>
                  <w:sz w:val="19"/>
                  <w:u w:val="single"/>
                  <w:effect w:val="none"/>
                </w:rPr>
                <w:t>202</w:t>
              </w:r>
            </w:hyperlink>
            <w:hyperlink w:anchor="i00769f51dfdb44b384777a5117e5dd26_112">
              <w:r>
                <w:rPr>
                  <w:rStyle w:val="InternetLink"/>
                  <w:rFonts w:ascii="Lato;sans-serif" w:hAnsi="Lato;sans-serif"/>
                  <w:b w:val="false"/>
                  <w:strike w:val="false"/>
                  <w:dstrike w:val="false"/>
                  <w:color w:val="000080"/>
                  <w:sz w:val="19"/>
                  <w:u w:val="single"/>
                  <w:effect w:val="none"/>
                </w:rPr>
                <w:t>4</w:t>
              </w:r>
            </w:hyperlink>
            <w:hyperlink w:anchor="i00769f51dfdb44b384777a5117e5dd26_112">
              <w:r>
                <w:rPr>
                  <w:rStyle w:val="InternetLink"/>
                  <w:rFonts w:ascii="Lato;sans-serif" w:hAnsi="Lato;sans-serif"/>
                  <w:b w:val="false"/>
                  <w:strike w:val="false"/>
                  <w:dstrike w:val="false"/>
                  <w:color w:val="000080"/>
                  <w:sz w:val="19"/>
                  <w:u w:val="single"/>
                  <w:effect w:val="none"/>
                </w:rPr>
                <w:t xml:space="preserve"> Outside Director Compensation</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12">
              <w:r>
                <w:rPr>
                  <w:rStyle w:val="InternetLink"/>
                  <w:rFonts w:ascii="Lato;sans-serif" w:hAnsi="Lato;sans-serif"/>
                  <w:b w:val="false"/>
                  <w:strike w:val="false"/>
                  <w:dstrike w:val="false"/>
                  <w:color w:val="000000"/>
                  <w:sz w:val="19"/>
                  <w:u w:val="none"/>
                  <w:effect w:val="none"/>
                </w:rPr>
                <w:t>43</w:t>
              </w:r>
            </w:hyperlink>
          </w:p>
        </w:tc>
      </w:tr>
      <w:tr>
        <w:trPr/>
        <w:tc>
          <w:tcPr>
            <w:tcW w:w="7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00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0046C8" w:val="clear"/>
            <w:tcMar>
              <w:top w:w="0" w:type="dxa"/>
              <w:left w:w="0" w:type="dxa"/>
              <w:bottom w:w="0" w:type="dxa"/>
              <w:right w:w="0" w:type="dxa"/>
            </w:tcMar>
            <w:vAlign w:val="center"/>
          </w:tcPr>
          <w:p>
            <w:pPr>
              <w:pStyle w:val="TableContents"/>
              <w:bidi w:val="0"/>
              <w:spacing w:lineRule="auto" w:line="288" w:before="0" w:after="0"/>
              <w:jc w:val="left"/>
              <w:rPr/>
            </w:pPr>
            <w:hyperlink w:anchor="i00769f51dfdb44b384777a5117e5dd26_115">
              <w:r>
                <w:rPr>
                  <w:rStyle w:val="InternetLink"/>
                  <w:rFonts w:ascii="Lato Bold;sans-serif" w:hAnsi="Lato Bold;sans-serif"/>
                  <w:b/>
                  <w:strike w:val="false"/>
                  <w:dstrike w:val="false"/>
                  <w:color w:val="000080"/>
                  <w:sz w:val="19"/>
                  <w:u w:val="single"/>
                  <w:effect w:val="none"/>
                </w:rPr>
                <w:t>PROPOSAL 2:</w:t>
              </w:r>
            </w:hyperlink>
            <w:hyperlink w:anchor="i00769f51dfdb44b384777a5117e5dd26_115">
              <w:r>
                <w:rPr>
                  <w:rStyle w:val="InternetLink"/>
                  <w:rFonts w:ascii="Lato Bold;sans-serif" w:hAnsi="Lato Bold;sans-serif"/>
                  <w:b/>
                  <w:strike w:val="false"/>
                  <w:dstrike w:val="false"/>
                  <w:color w:val="000080"/>
                  <w:sz w:val="19"/>
                  <w:u w:val="single"/>
                  <w:effect w:val="none"/>
                </w:rPr>
                <w:t xml:space="preserve"> Ratification of Auditor</w:t>
              </w:r>
            </w:hyperlink>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15">
              <w:r>
                <w:rPr>
                  <w:rStyle w:val="InternetLink"/>
                  <w:rFonts w:ascii="Gilroy Bold;sans-serif" w:hAnsi="Gilroy Bold;sans-serif"/>
                  <w:b/>
                  <w:strike w:val="false"/>
                  <w:dstrike w:val="false"/>
                  <w:color w:val="0046C8"/>
                  <w:sz w:val="19"/>
                  <w:u w:val="none"/>
                  <w:effect w:val="none"/>
                </w:rPr>
                <w:t>46</w:t>
              </w:r>
            </w:hyperlink>
          </w:p>
        </w:tc>
      </w:tr>
      <w:tr>
        <w:trPr/>
        <w:tc>
          <w:tcPr>
            <w:tcW w:w="7278" w:type="dxa"/>
            <w:gridSpan w:val="3"/>
            <w:tcBorders/>
            <w:shd w:fill="00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top w:val="single" w:sz="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op w:val="single" w:sz="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op w:val="single" w:sz="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18">
              <w:r>
                <w:rPr>
                  <w:rStyle w:val="InternetLink"/>
                  <w:rFonts w:ascii="Lato;sans-serif" w:hAnsi="Lato;sans-serif"/>
                  <w:b w:val="false"/>
                  <w:strike w:val="false"/>
                  <w:dstrike w:val="false"/>
                  <w:color w:val="000000"/>
                  <w:sz w:val="19"/>
                  <w:u w:val="none"/>
                  <w:effect w:val="none"/>
                </w:rPr>
                <w:t>Principal Accounting Firm Fees</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18">
              <w:r>
                <w:rPr>
                  <w:rStyle w:val="InternetLink"/>
                  <w:rFonts w:ascii="Lato;sans-serif" w:hAnsi="Lato;sans-serif"/>
                  <w:b w:val="false"/>
                  <w:strike w:val="false"/>
                  <w:dstrike w:val="false"/>
                  <w:color w:val="000000"/>
                  <w:sz w:val="19"/>
                  <w:u w:val="none"/>
                  <w:effect w:val="none"/>
                </w:rPr>
                <w:t>47</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21">
              <w:r>
                <w:rPr>
                  <w:rStyle w:val="InternetLink"/>
                  <w:rFonts w:ascii="Lato;sans-serif" w:hAnsi="Lato;sans-serif"/>
                  <w:b w:val="false"/>
                  <w:strike w:val="false"/>
                  <w:dstrike w:val="false"/>
                  <w:color w:val="000000"/>
                  <w:sz w:val="19"/>
                  <w:u w:val="none"/>
                  <w:effect w:val="none"/>
                </w:rPr>
                <w:t>Audit Committee Approval of Audit and Non-Audit Services</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21">
              <w:r>
                <w:rPr>
                  <w:rStyle w:val="InternetLink"/>
                  <w:rFonts w:ascii="Lato;sans-serif" w:hAnsi="Lato;sans-serif"/>
                  <w:b w:val="false"/>
                  <w:strike w:val="false"/>
                  <w:dstrike w:val="false"/>
                  <w:color w:val="000000"/>
                  <w:sz w:val="19"/>
                  <w:u w:val="none"/>
                  <w:effect w:val="none"/>
                </w:rPr>
                <w:t>47</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24">
              <w:r>
                <w:rPr>
                  <w:rStyle w:val="InternetLink"/>
                  <w:rFonts w:ascii="Lato;sans-serif" w:hAnsi="Lato;sans-serif"/>
                  <w:b w:val="false"/>
                  <w:strike w:val="false"/>
                  <w:dstrike w:val="false"/>
                  <w:color w:val="000000"/>
                  <w:sz w:val="19"/>
                  <w:u w:val="none"/>
                  <w:effect w:val="none"/>
                </w:rPr>
                <w:t>Audit Committee Report</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24">
              <w:r>
                <w:rPr>
                  <w:rStyle w:val="InternetLink"/>
                  <w:rFonts w:ascii="Lato;sans-serif" w:hAnsi="Lato;sans-serif"/>
                  <w:b w:val="false"/>
                  <w:strike w:val="false"/>
                  <w:dstrike w:val="false"/>
                  <w:color w:val="000000"/>
                  <w:sz w:val="19"/>
                  <w:u w:val="none"/>
                  <w:effect w:val="none"/>
                </w:rPr>
                <w:t>48</w:t>
              </w:r>
            </w:hyperlink>
          </w:p>
        </w:tc>
      </w:tr>
      <w:tr>
        <w:trPr/>
        <w:tc>
          <w:tcPr>
            <w:tcW w:w="7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00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shd w:fill="0046C8" w:val="clear"/>
            <w:tcMar>
              <w:top w:w="0" w:type="dxa"/>
              <w:left w:w="0" w:type="dxa"/>
              <w:bottom w:w="0" w:type="dxa"/>
              <w:right w:w="0" w:type="dxa"/>
            </w:tcMar>
            <w:vAlign w:val="center"/>
          </w:tcPr>
          <w:p>
            <w:pPr>
              <w:pStyle w:val="TableContents"/>
              <w:bidi w:val="0"/>
              <w:spacing w:lineRule="auto" w:line="264" w:before="0" w:after="0"/>
              <w:jc w:val="left"/>
              <w:rPr/>
            </w:pPr>
            <w:hyperlink w:anchor="i00769f51dfdb44b384777a5117e5dd26_127">
              <w:r>
                <w:rPr>
                  <w:rStyle w:val="InternetLink"/>
                  <w:rFonts w:ascii="Lato Bold;sans-serif" w:hAnsi="Lato Bold;sans-serif"/>
                  <w:b/>
                  <w:strike w:val="false"/>
                  <w:dstrike w:val="false"/>
                  <w:color w:val="FFFFFF"/>
                  <w:sz w:val="19"/>
                  <w:u w:val="none"/>
                  <w:effect w:val="none"/>
                </w:rPr>
                <w:t>PROPOSAL 3: Advisory Vote to Approve Named Executive Officer Compensation</w:t>
              </w:r>
            </w:hyperlink>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27">
              <w:r>
                <w:rPr>
                  <w:rStyle w:val="InternetLink"/>
                  <w:rFonts w:ascii="Gilroy Bold;sans-serif" w:hAnsi="Gilroy Bold;sans-serif"/>
                  <w:b w:val="false"/>
                  <w:strike w:val="false"/>
                  <w:dstrike w:val="false"/>
                  <w:color w:val="0046C8"/>
                  <w:sz w:val="19"/>
                  <w:u w:val="none"/>
                  <w:effect w:val="none"/>
                </w:rPr>
                <w:t>49</w:t>
              </w:r>
            </w:hyperlink>
          </w:p>
        </w:tc>
      </w:tr>
      <w:tr>
        <w:trPr/>
        <w:tc>
          <w:tcPr>
            <w:tcW w:w="7278" w:type="dxa"/>
            <w:gridSpan w:val="3"/>
            <w:tcBorders/>
            <w:shd w:fill="00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8" w:type="dxa"/>
            <w:gridSpan w:val="3"/>
            <w:tcBorders>
              <w:top w:val="single" w:sz="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op w:val="single" w:sz="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op w:val="single" w:sz="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12" w:before="0" w:after="0"/>
              <w:jc w:val="left"/>
              <w:rPr/>
            </w:pPr>
            <w:hyperlink w:anchor="i00769f51dfdb44b384777a5117e5dd26_130">
              <w:r>
                <w:rPr>
                  <w:rStyle w:val="InternetLink"/>
                  <w:rFonts w:ascii="Lato Bold;sans-serif" w:hAnsi="Lato Bold;sans-serif"/>
                  <w:b/>
                  <w:strike w:val="false"/>
                  <w:dstrike w:val="false"/>
                  <w:color w:val="000000"/>
                  <w:sz w:val="19"/>
                  <w:u w:val="none"/>
                  <w:effect w:val="none"/>
                </w:rPr>
                <w:t>Compensation Discussion and Analysis</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30">
              <w:r>
                <w:rPr>
                  <w:rStyle w:val="InternetLink"/>
                  <w:rFonts w:ascii="Lato Bold;sans-serif" w:hAnsi="Lato Bold;sans-serif"/>
                  <w:b/>
                  <w:strike w:val="false"/>
                  <w:dstrike w:val="false"/>
                  <w:color w:val="000000"/>
                  <w:sz w:val="19"/>
                  <w:u w:val="none"/>
                  <w:effect w:val="none"/>
                </w:rPr>
                <w:t>50</w:t>
              </w:r>
            </w:hyperlink>
          </w:p>
        </w:tc>
      </w:tr>
      <w:tr>
        <w:trPr/>
        <w:tc>
          <w:tcPr>
            <w:tcW w:w="97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pPr>
            <w:hyperlink w:anchor="i00769f51dfdb44b384777a5117e5dd26_136">
              <w:r>
                <w:rPr>
                  <w:rStyle w:val="InternetLink"/>
                  <w:rFonts w:ascii="Lato;sans-serif" w:hAnsi="Lato;sans-serif"/>
                  <w:b w:val="false"/>
                  <w:strike w:val="false"/>
                  <w:dstrike w:val="false"/>
                  <w:color w:val="000000"/>
                  <w:sz w:val="19"/>
                  <w:u w:val="none"/>
                  <w:effect w:val="none"/>
                </w:rPr>
                <w:t>Executive Compensation Objectives and Policies</w:t>
              </w:r>
            </w:hyperlink>
          </w:p>
        </w:tc>
        <w:tc>
          <w:tcPr>
            <w:tcW w:w="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pPr>
            <w:hyperlink w:anchor="i00769f51dfdb44b384777a5117e5dd26_136">
              <w:r>
                <w:rPr>
                  <w:rStyle w:val="InternetLink"/>
                  <w:rFonts w:ascii="Lato;sans-serif" w:hAnsi="Lato;sans-serif"/>
                  <w:b w:val="false"/>
                  <w:strike w:val="false"/>
                  <w:dstrike w:val="false"/>
                  <w:color w:val="000000"/>
                  <w:sz w:val="19"/>
                  <w:u w:val="none"/>
                  <w:effect w:val="none"/>
                </w:rPr>
                <w:t>53</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39">
              <w:r>
                <w:rPr>
                  <w:rStyle w:val="InternetLink"/>
                  <w:rFonts w:ascii="Lato;sans-serif" w:hAnsi="Lato;sans-serif"/>
                  <w:b w:val="false"/>
                  <w:strike w:val="false"/>
                  <w:dstrike w:val="false"/>
                  <w:color w:val="000000"/>
                  <w:sz w:val="19"/>
                  <w:u w:val="none"/>
                  <w:effect w:val="none"/>
                </w:rPr>
                <w:t>Components of Our Executive Compensation Program</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39">
              <w:r>
                <w:rPr>
                  <w:rStyle w:val="InternetLink"/>
                  <w:rFonts w:ascii="Lato;sans-serif" w:hAnsi="Lato;sans-serif"/>
                  <w:b w:val="false"/>
                  <w:strike w:val="false"/>
                  <w:dstrike w:val="false"/>
                  <w:color w:val="000000"/>
                  <w:sz w:val="19"/>
                  <w:u w:val="none"/>
                  <w:effect w:val="none"/>
                </w:rPr>
                <w:t>54</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42">
              <w:r>
                <w:rPr>
                  <w:rStyle w:val="InternetLink"/>
                  <w:rFonts w:ascii="Lato;sans-serif" w:hAnsi="Lato;sans-serif"/>
                  <w:b w:val="false"/>
                  <w:strike w:val="false"/>
                  <w:dstrike w:val="false"/>
                  <w:color w:val="000000"/>
                  <w:sz w:val="19"/>
                  <w:u w:val="none"/>
                  <w:effect w:val="none"/>
                </w:rPr>
                <w:t>Setting Annual Compensation</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42">
              <w:r>
                <w:rPr>
                  <w:rStyle w:val="InternetLink"/>
                  <w:rFonts w:ascii="Lato;sans-serif" w:hAnsi="Lato;sans-serif"/>
                  <w:b w:val="false"/>
                  <w:strike w:val="false"/>
                  <w:dstrike w:val="false"/>
                  <w:color w:val="000000"/>
                  <w:sz w:val="19"/>
                  <w:u w:val="none"/>
                  <w:effect w:val="none"/>
                </w:rPr>
                <w:t>55</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45">
              <w:r>
                <w:rPr>
                  <w:rStyle w:val="InternetLink"/>
                  <w:rFonts w:ascii="Lato;sans-serif" w:hAnsi="Lato;sans-serif"/>
                  <w:b w:val="false"/>
                  <w:strike w:val="false"/>
                  <w:dstrike w:val="false"/>
                  <w:color w:val="000000"/>
                  <w:sz w:val="19"/>
                  <w:u w:val="none"/>
                  <w:effect w:val="none"/>
                </w:rPr>
                <w:t>Executive Compensation for 202</w:t>
              </w:r>
            </w:hyperlink>
            <w:r>
              <w:rPr>
                <w:rFonts w:ascii="Lato;sans-serif" w:hAnsi="Lato;sans-serif"/>
                <w:b w:val="false"/>
                <w:color w:val="000000"/>
                <w:sz w:val="19"/>
              </w:rPr>
              <w:t>4</w:t>
            </w:r>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45">
              <w:r>
                <w:rPr>
                  <w:rStyle w:val="InternetLink"/>
                  <w:rFonts w:ascii="Lato;sans-serif" w:hAnsi="Lato;sans-serif"/>
                  <w:b w:val="false"/>
                  <w:strike w:val="false"/>
                  <w:dstrike w:val="false"/>
                  <w:color w:val="000000"/>
                  <w:sz w:val="19"/>
                  <w:u w:val="none"/>
                  <w:effect w:val="none"/>
                </w:rPr>
                <w:t>57</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48">
              <w:r>
                <w:rPr>
                  <w:rStyle w:val="InternetLink"/>
                  <w:rFonts w:ascii="Lato;sans-serif" w:hAnsi="Lato;sans-serif"/>
                  <w:b w:val="false"/>
                  <w:strike w:val="false"/>
                  <w:dstrike w:val="false"/>
                  <w:color w:val="000000"/>
                  <w:sz w:val="19"/>
                  <w:u w:val="none"/>
                  <w:effect w:val="none"/>
                </w:rPr>
                <w:t>Benefits and Other Compensation</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48">
              <w:r>
                <w:rPr>
                  <w:rStyle w:val="InternetLink"/>
                  <w:rFonts w:ascii="Lato;sans-serif" w:hAnsi="Lato;sans-serif"/>
                  <w:b w:val="false"/>
                  <w:strike w:val="false"/>
                  <w:dstrike w:val="false"/>
                  <w:color w:val="000000"/>
                  <w:sz w:val="19"/>
                  <w:u w:val="none"/>
                  <w:effect w:val="none"/>
                </w:rPr>
                <w:t>64</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54">
              <w:r>
                <w:rPr>
                  <w:rStyle w:val="InternetLink"/>
                  <w:rFonts w:ascii="Lato;sans-serif" w:hAnsi="Lato;sans-serif"/>
                  <w:b w:val="false"/>
                  <w:strike w:val="false"/>
                  <w:dstrike w:val="false"/>
                  <w:color w:val="000000"/>
                  <w:sz w:val="19"/>
                  <w:u w:val="none"/>
                  <w:effect w:val="none"/>
                </w:rPr>
                <w:t>Additional Information about Our Compensation Practices</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54">
              <w:r>
                <w:rPr>
                  <w:rStyle w:val="InternetLink"/>
                  <w:rFonts w:ascii="Lato;sans-serif" w:hAnsi="Lato;sans-serif"/>
                  <w:b w:val="false"/>
                  <w:strike w:val="false"/>
                  <w:dstrike w:val="false"/>
                  <w:color w:val="000000"/>
                  <w:sz w:val="19"/>
                  <w:u w:val="none"/>
                  <w:effect w:val="none"/>
                </w:rPr>
                <w:t>66</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57">
              <w:r>
                <w:rPr>
                  <w:rStyle w:val="InternetLink"/>
                  <w:rFonts w:ascii="Lato;sans-serif" w:hAnsi="Lato;sans-serif"/>
                  <w:b w:val="false"/>
                  <w:strike w:val="false"/>
                  <w:dstrike w:val="false"/>
                  <w:color w:val="000000"/>
                  <w:sz w:val="19"/>
                  <w:u w:val="none"/>
                  <w:effect w:val="none"/>
                </w:rPr>
                <w:t>Management Development and Compensation Committee Report</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57">
              <w:r>
                <w:rPr>
                  <w:rStyle w:val="InternetLink"/>
                  <w:rFonts w:ascii="Lato;sans-serif" w:hAnsi="Lato;sans-serif"/>
                  <w:b w:val="false"/>
                  <w:strike w:val="false"/>
                  <w:dstrike w:val="false"/>
                  <w:color w:val="000000"/>
                  <w:sz w:val="19"/>
                  <w:u w:val="none"/>
                  <w:effect w:val="none"/>
                </w:rPr>
                <w:t>69</w:t>
              </w:r>
            </w:hyperlink>
          </w:p>
        </w:tc>
      </w:tr>
      <w:tr>
        <w:trPr/>
        <w:tc>
          <w:tcPr>
            <w:tcW w:w="978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60">
              <w:r>
                <w:rPr>
                  <w:rStyle w:val="InternetLink"/>
                  <w:rFonts w:ascii="Lato;sans-serif" w:hAnsi="Lato;sans-serif"/>
                  <w:b w:val="false"/>
                  <w:strike w:val="false"/>
                  <w:dstrike w:val="false"/>
                  <w:color w:val="000000"/>
                  <w:sz w:val="19"/>
                  <w:u w:val="none"/>
                  <w:effect w:val="none"/>
                </w:rPr>
                <w:t>Analysis of Compensation-Related Risks</w:t>
              </w:r>
            </w:hyperlink>
          </w:p>
        </w:tc>
        <w:tc>
          <w:tcPr>
            <w:tcW w:w="425"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60">
              <w:r>
                <w:rPr>
                  <w:rStyle w:val="InternetLink"/>
                  <w:rFonts w:ascii="Lato;sans-serif" w:hAnsi="Lato;sans-serif"/>
                  <w:b w:val="false"/>
                  <w:strike w:val="false"/>
                  <w:dstrike w:val="false"/>
                  <w:color w:val="000000"/>
                  <w:sz w:val="19"/>
                  <w:u w:val="none"/>
                  <w:effect w:val="none"/>
                </w:rPr>
                <w:t>70</w:t>
              </w:r>
            </w:hyperlink>
          </w:p>
        </w:tc>
      </w:tr>
      <w:tr>
        <w:trPr/>
        <w:tc>
          <w:tcPr>
            <w:tcW w:w="7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12" w:before="0" w:after="0"/>
              <w:jc w:val="left"/>
              <w:rPr/>
            </w:pPr>
            <w:hyperlink w:anchor="i00769f51dfdb44b384777a5117e5dd26_163">
              <w:r>
                <w:rPr>
                  <w:rStyle w:val="InternetLink"/>
                  <w:rFonts w:ascii="Lato Bold;sans-serif" w:hAnsi="Lato Bold;sans-serif"/>
                  <w:b/>
                  <w:strike w:val="false"/>
                  <w:dstrike w:val="false"/>
                  <w:color w:val="000000"/>
                  <w:sz w:val="19"/>
                  <w:u w:val="none"/>
                  <w:effect w:val="none"/>
                </w:rPr>
                <w:t>Compensation Tables</w:t>
              </w:r>
            </w:hyperlink>
          </w:p>
        </w:tc>
        <w:tc>
          <w:tcPr>
            <w:tcW w:w="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0"/>
              <w:jc w:val="right"/>
              <w:rPr/>
            </w:pPr>
            <w:hyperlink w:anchor="i00769f51dfdb44b384777a5117e5dd26_163">
              <w:r>
                <w:rPr>
                  <w:rStyle w:val="InternetLink"/>
                  <w:rFonts w:ascii="Lato Bold;sans-serif" w:hAnsi="Lato Bold;sans-serif"/>
                  <w:b/>
                  <w:strike w:val="false"/>
                  <w:dstrike w:val="false"/>
                  <w:color w:val="000000"/>
                  <w:sz w:val="19"/>
                  <w:u w:val="none"/>
                  <w:effect w:val="none"/>
                </w:rPr>
                <w:t>71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629920"/>
                <wp:effectExtent l="0" t="0" r="0" b="0"/>
                <wp:wrapNone/>
                <wp:docPr id="20" name="Frame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47" w:type="dxa"/>
                              <w:jc w:val="left"/>
                              <w:tblInd w:w="0" w:type="dxa"/>
                              <w:tblLayout w:type="fixed"/>
                              <w:tblCellMar>
                                <w:top w:w="28" w:type="dxa"/>
                                <w:left w:w="28" w:type="dxa"/>
                                <w:bottom w:w="28" w:type="dxa"/>
                                <w:right w:w="28" w:type="dxa"/>
                              </w:tblCellMar>
                            </w:tblPr>
                            <w:tblGrid>
                              <w:gridCol w:w="124"/>
                              <w:gridCol w:w="109"/>
                              <w:gridCol w:w="109"/>
                              <w:gridCol w:w="645"/>
                              <w:gridCol w:w="645"/>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47" w:type="dxa"/>
                        <w:jc w:val="left"/>
                        <w:tblInd w:w="0" w:type="dxa"/>
                        <w:tblLayout w:type="fixed"/>
                        <w:tblCellMar>
                          <w:top w:w="28" w:type="dxa"/>
                          <w:left w:w="28" w:type="dxa"/>
                          <w:bottom w:w="28" w:type="dxa"/>
                          <w:right w:w="28" w:type="dxa"/>
                        </w:tblCellMar>
                      </w:tblPr>
                      <w:tblGrid>
                        <w:gridCol w:w="124"/>
                        <w:gridCol w:w="109"/>
                        <w:gridCol w:w="109"/>
                        <w:gridCol w:w="645"/>
                        <w:gridCol w:w="645"/>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1946" w:type="dxa"/>
        <w:jc w:val="left"/>
        <w:tblInd w:w="0" w:type="dxa"/>
        <w:tblLayout w:type="fixed"/>
        <w:tblCellMar>
          <w:top w:w="28" w:type="dxa"/>
          <w:left w:w="28" w:type="dxa"/>
          <w:bottom w:w="28" w:type="dxa"/>
          <w:right w:w="28" w:type="dxa"/>
        </w:tblCellMar>
      </w:tblPr>
      <w:tblGrid>
        <w:gridCol w:w="188"/>
        <w:gridCol w:w="166"/>
        <w:gridCol w:w="167"/>
        <w:gridCol w:w="416"/>
        <w:gridCol w:w="416"/>
        <w:gridCol w:w="593"/>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4"/>
                          <a:stretch>
                            <a:fillRect/>
                          </a:stretch>
                        </pic:blipFill>
                        <pic:spPr bwMode="auto">
                          <a:xfrm>
                            <a:off x="0" y="0"/>
                            <a:ext cx="228600" cy="180975"/>
                          </a:xfrm>
                          <a:prstGeom prst="rect">
                            <a:avLst/>
                          </a:prstGeom>
                        </pic:spPr>
                      </pic:pic>
                    </a:graphicData>
                  </a:graphic>
                </wp:inline>
              </w:drawing>
            </w:r>
            <w:r>
              <w:rPr>
                <w:color w:val="000000"/>
              </w:rPr>
              <w:t> </w:t>
            </w:r>
          </w:p>
        </w:tc>
        <w:tc>
          <w:tcPr>
            <w:tcW w:w="142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Lato Bold;sans-serif" w:hAnsi="Lato Bold;sans-serif"/>
                <w:b/>
                <w:color w:val="000000"/>
                <w:sz w:val="14"/>
              </w:rPr>
            </w:pPr>
            <w:r>
              <w:rPr>
                <w:rFonts w:ascii="Lato Bold;sans-serif" w:hAnsi="Lato Bold;sans-serif"/>
                <w:b/>
                <w:color w:val="000000"/>
                <w:sz w:val="14"/>
              </w:rPr>
              <w:t>Table of contents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128" w:type="dxa"/>
        <w:jc w:val="left"/>
        <w:tblInd w:w="0" w:type="dxa"/>
        <w:tblLayout w:type="fixed"/>
        <w:tblCellMar>
          <w:top w:w="28" w:type="dxa"/>
          <w:left w:w="28" w:type="dxa"/>
          <w:bottom w:w="28" w:type="dxa"/>
          <w:right w:w="28" w:type="dxa"/>
        </w:tblCellMar>
      </w:tblPr>
      <w:tblGrid>
        <w:gridCol w:w="1867"/>
        <w:gridCol w:w="1642"/>
        <w:gridCol w:w="1642"/>
        <w:gridCol w:w="804"/>
        <w:gridCol w:w="804"/>
        <w:gridCol w:w="813"/>
        <w:gridCol w:w="161"/>
        <w:gridCol w:w="161"/>
        <w:gridCol w:w="234"/>
      </w:tblGrid>
      <w:tr>
        <w:trPr/>
        <w:tc>
          <w:tcPr>
            <w:tcW w:w="1867"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75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pPr>
            <w:hyperlink w:anchor="i00769f51dfdb44b384777a5117e5dd26_166">
              <w:r>
                <w:rPr>
                  <w:rStyle w:val="InternetLink"/>
                  <w:rFonts w:ascii="Lato;sans-serif" w:hAnsi="Lato;sans-serif"/>
                  <w:b w:val="false"/>
                  <w:strike w:val="false"/>
                  <w:dstrike w:val="false"/>
                  <w:color w:val="000000"/>
                  <w:sz w:val="19"/>
                  <w:u w:val="none"/>
                  <w:effect w:val="none"/>
                </w:rPr>
                <w:t>Summary Compensation</w:t>
              </w:r>
            </w:hyperlink>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pPr>
            <w:hyperlink w:anchor="i00769f51dfdb44b384777a5117e5dd26_166">
              <w:r>
                <w:rPr>
                  <w:rStyle w:val="InternetLink"/>
                  <w:rFonts w:ascii="Lato;sans-serif" w:hAnsi="Lato;sans-serif"/>
                  <w:b w:val="false"/>
                  <w:strike w:val="false"/>
                  <w:dstrike w:val="false"/>
                  <w:color w:val="000000"/>
                  <w:sz w:val="19"/>
                  <w:u w:val="none"/>
                  <w:effect w:val="none"/>
                </w:rPr>
                <w:t>71</w:t>
              </w:r>
            </w:hyperlink>
          </w:p>
        </w:tc>
      </w:tr>
      <w:tr>
        <w:trPr/>
        <w:tc>
          <w:tcPr>
            <w:tcW w:w="5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12" w:before="0" w:after="0"/>
              <w:jc w:val="left"/>
              <w:rPr/>
            </w:pPr>
            <w:hyperlink w:anchor="i00769f51dfdb44b384777a5117e5dd26_193">
              <w:r>
                <w:rPr>
                  <w:rStyle w:val="InternetLink"/>
                  <w:rFonts w:ascii="Lato Bold;sans-serif" w:hAnsi="Lato Bold;sans-serif"/>
                  <w:b/>
                  <w:strike w:val="false"/>
                  <w:dstrike w:val="false"/>
                  <w:color w:val="000000"/>
                  <w:sz w:val="19"/>
                  <w:u w:val="none"/>
                  <w:effect w:val="none"/>
                </w:rPr>
                <w:t>Other Information</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93">
              <w:r>
                <w:rPr>
                  <w:rStyle w:val="InternetLink"/>
                  <w:rFonts w:ascii="Lato Bold;sans-serif" w:hAnsi="Lato Bold;sans-serif"/>
                  <w:b/>
                  <w:strike w:val="false"/>
                  <w:dstrike w:val="false"/>
                  <w:color w:val="000000"/>
                  <w:sz w:val="19"/>
                  <w:u w:val="none"/>
                  <w:effect w:val="none"/>
                </w:rPr>
                <w:t>88</w:t>
              </w:r>
            </w:hyperlink>
          </w:p>
        </w:tc>
      </w:tr>
      <w:tr>
        <w:trPr/>
        <w:tc>
          <w:tcPr>
            <w:tcW w:w="75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pPr>
            <w:hyperlink w:anchor="i00769f51dfdb44b384777a5117e5dd26_196">
              <w:r>
                <w:rPr>
                  <w:rStyle w:val="InternetLink"/>
                  <w:rFonts w:ascii="Lato;sans-serif" w:hAnsi="Lato;sans-serif"/>
                  <w:b w:val="false"/>
                  <w:strike w:val="false"/>
                  <w:dstrike w:val="false"/>
                  <w:color w:val="000000"/>
                  <w:sz w:val="19"/>
                  <w:u w:val="none"/>
                  <w:effect w:val="none"/>
                </w:rPr>
                <w:t>Security Ownership Information</w:t>
              </w:r>
            </w:hyperlink>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pPr>
            <w:hyperlink w:anchor="i00769f51dfdb44b384777a5117e5dd26_196">
              <w:r>
                <w:rPr>
                  <w:rStyle w:val="InternetLink"/>
                  <w:rFonts w:ascii="Lato;sans-serif" w:hAnsi="Lato;sans-serif"/>
                  <w:b w:val="false"/>
                  <w:strike w:val="false"/>
                  <w:dstrike w:val="false"/>
                  <w:color w:val="000000"/>
                  <w:sz w:val="19"/>
                  <w:u w:val="none"/>
                  <w:effect w:val="none"/>
                </w:rPr>
                <w:t>88</w:t>
              </w:r>
            </w:hyperlink>
          </w:p>
        </w:tc>
      </w:tr>
      <w:tr>
        <w:trPr/>
        <w:tc>
          <w:tcPr>
            <w:tcW w:w="515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Delinquent Section 16(a) Reports</w:t>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312" w:before="120" w:after="120"/>
              <w:jc w:val="right"/>
              <w:rPr/>
            </w:pPr>
            <w:hyperlink w:anchor="i00769f51dfdb44b384777a5117e5dd26_2369">
              <w:r>
                <w:rPr>
                  <w:rStyle w:val="InternetLink"/>
                  <w:rFonts w:ascii="Lato;sans-serif" w:hAnsi="Lato;sans-serif"/>
                  <w:b w:val="false"/>
                  <w:strike w:val="false"/>
                  <w:dstrike w:val="false"/>
                  <w:color w:val="000000"/>
                  <w:sz w:val="19"/>
                  <w:u w:val="none"/>
                  <w:effect w:val="none"/>
                </w:rPr>
                <w:t>90</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199">
              <w:r>
                <w:rPr>
                  <w:rStyle w:val="InternetLink"/>
                  <w:rFonts w:ascii="Lato;sans-serif" w:hAnsi="Lato;sans-serif"/>
                  <w:b w:val="false"/>
                  <w:strike w:val="false"/>
                  <w:dstrike w:val="false"/>
                  <w:color w:val="000000"/>
                  <w:sz w:val="19"/>
                  <w:u w:val="none"/>
                  <w:effect w:val="none"/>
                </w:rPr>
                <w:t>Transactions with Related Persons</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199">
              <w:r>
                <w:rPr>
                  <w:rStyle w:val="InternetLink"/>
                  <w:rFonts w:ascii="Lato;sans-serif" w:hAnsi="Lato;sans-serif"/>
                  <w:b w:val="false"/>
                  <w:strike w:val="false"/>
                  <w:dstrike w:val="false"/>
                  <w:color w:val="000000"/>
                  <w:sz w:val="19"/>
                  <w:u w:val="none"/>
                  <w:effect w:val="none"/>
                </w:rPr>
                <w:t>90</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02">
              <w:r>
                <w:rPr>
                  <w:rStyle w:val="InternetLink"/>
                  <w:rFonts w:ascii="Lato;sans-serif" w:hAnsi="Lato;sans-serif"/>
                  <w:b w:val="false"/>
                  <w:strike w:val="false"/>
                  <w:dstrike w:val="false"/>
                  <w:color w:val="000000"/>
                  <w:sz w:val="19"/>
                  <w:u w:val="none"/>
                  <w:effect w:val="none"/>
                </w:rPr>
                <w:t>Pay Versus Performance</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02">
              <w:r>
                <w:rPr>
                  <w:rStyle w:val="InternetLink"/>
                  <w:rFonts w:ascii="Lato;sans-serif" w:hAnsi="Lato;sans-serif"/>
                  <w:b w:val="false"/>
                  <w:strike w:val="false"/>
                  <w:dstrike w:val="false"/>
                  <w:color w:val="000000"/>
                  <w:sz w:val="19"/>
                  <w:u w:val="none"/>
                  <w:effect w:val="none"/>
                </w:rPr>
                <w:t>91</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05">
              <w:r>
                <w:rPr>
                  <w:rStyle w:val="InternetLink"/>
                  <w:rFonts w:ascii="Lato;sans-serif" w:hAnsi="Lato;sans-serif"/>
                  <w:b w:val="false"/>
                  <w:strike w:val="false"/>
                  <w:dstrike w:val="false"/>
                  <w:color w:val="000000"/>
                  <w:sz w:val="19"/>
                  <w:u w:val="none"/>
                  <w:effect w:val="none"/>
                </w:rPr>
                <w:t>CEO Pay Ratio Disclosure</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05">
              <w:r>
                <w:rPr>
                  <w:rStyle w:val="InternetLink"/>
                  <w:rFonts w:ascii="Lato;sans-serif" w:hAnsi="Lato;sans-serif"/>
                  <w:b w:val="false"/>
                  <w:strike w:val="false"/>
                  <w:dstrike w:val="false"/>
                  <w:color w:val="000000"/>
                  <w:sz w:val="19"/>
                  <w:u w:val="none"/>
                  <w:effect w:val="none"/>
                </w:rPr>
                <w:t>95</w:t>
              </w:r>
            </w:hyperlink>
          </w:p>
        </w:tc>
      </w:tr>
      <w:tr>
        <w:trPr/>
        <w:tc>
          <w:tcPr>
            <w:tcW w:w="5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12" w:before="0" w:after="0"/>
              <w:jc w:val="left"/>
              <w:rPr/>
            </w:pPr>
            <w:hyperlink w:anchor="i00769f51dfdb44b384777a5117e5dd26_208">
              <w:r>
                <w:rPr>
                  <w:rStyle w:val="InternetLink"/>
                  <w:rFonts w:ascii="Lato Bold;sans-serif" w:hAnsi="Lato Bold;sans-serif"/>
                  <w:b/>
                  <w:strike w:val="false"/>
                  <w:dstrike w:val="false"/>
                  <w:color w:val="000000"/>
                  <w:sz w:val="19"/>
                  <w:u w:val="none"/>
                  <w:effect w:val="none"/>
                </w:rPr>
                <w:t>General Information about our Annual Meeting</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08">
              <w:r>
                <w:rPr>
                  <w:rStyle w:val="InternetLink"/>
                  <w:rFonts w:ascii="Lato Bold;sans-serif" w:hAnsi="Lato Bold;sans-serif"/>
                  <w:b/>
                  <w:strike w:val="false"/>
                  <w:dstrike w:val="false"/>
                  <w:color w:val="000000"/>
                  <w:sz w:val="19"/>
                  <w:u w:val="none"/>
                  <w:effect w:val="none"/>
                </w:rPr>
                <w:t>96</w:t>
              </w:r>
            </w:hyperlink>
          </w:p>
        </w:tc>
      </w:tr>
      <w:tr>
        <w:trPr/>
        <w:tc>
          <w:tcPr>
            <w:tcW w:w="757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pPr>
            <w:hyperlink w:anchor="i00769f51dfdb44b384777a5117e5dd26_211">
              <w:r>
                <w:rPr>
                  <w:rStyle w:val="InternetLink"/>
                  <w:rFonts w:ascii="Lato;sans-serif" w:hAnsi="Lato;sans-serif"/>
                  <w:b w:val="false"/>
                  <w:strike w:val="false"/>
                  <w:dstrike w:val="false"/>
                  <w:color w:val="000000"/>
                  <w:sz w:val="19"/>
                  <w:u w:val="none"/>
                  <w:effect w:val="none"/>
                </w:rPr>
                <w:t>How We Provide Proxy Materials</w:t>
              </w:r>
            </w:hyperlink>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right"/>
              <w:rPr/>
            </w:pPr>
            <w:hyperlink w:anchor="i00769f51dfdb44b384777a5117e5dd26_211">
              <w:r>
                <w:rPr>
                  <w:rStyle w:val="InternetLink"/>
                  <w:rFonts w:ascii="Lato;sans-serif" w:hAnsi="Lato;sans-serif"/>
                  <w:b w:val="false"/>
                  <w:strike w:val="false"/>
                  <w:dstrike w:val="false"/>
                  <w:color w:val="000000"/>
                  <w:sz w:val="19"/>
                  <w:u w:val="none"/>
                  <w:effect w:val="none"/>
                </w:rPr>
                <w:t>96</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14">
              <w:r>
                <w:rPr>
                  <w:rStyle w:val="InternetLink"/>
                  <w:rFonts w:ascii="Lato;sans-serif" w:hAnsi="Lato;sans-serif"/>
                  <w:b w:val="false"/>
                  <w:strike w:val="false"/>
                  <w:dstrike w:val="false"/>
                  <w:color w:val="000000"/>
                  <w:sz w:val="19"/>
                  <w:u w:val="none"/>
                  <w:effect w:val="none"/>
                </w:rPr>
                <w:t>Who May Vote</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14">
              <w:r>
                <w:rPr>
                  <w:rStyle w:val="InternetLink"/>
                  <w:rFonts w:ascii="Lato;sans-serif" w:hAnsi="Lato;sans-serif"/>
                  <w:b w:val="false"/>
                  <w:strike w:val="false"/>
                  <w:dstrike w:val="false"/>
                  <w:color w:val="000000"/>
                  <w:sz w:val="19"/>
                  <w:u w:val="none"/>
                  <w:effect w:val="none"/>
                </w:rPr>
                <w:t>96</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17">
              <w:r>
                <w:rPr>
                  <w:rStyle w:val="InternetLink"/>
                  <w:rFonts w:ascii="Lato;sans-serif" w:hAnsi="Lato;sans-serif"/>
                  <w:b w:val="false"/>
                  <w:strike w:val="false"/>
                  <w:dstrike w:val="false"/>
                  <w:color w:val="000000"/>
                  <w:sz w:val="19"/>
                  <w:u w:val="none"/>
                  <w:effect w:val="none"/>
                </w:rPr>
                <w:t>How to Vote</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17">
              <w:r>
                <w:rPr>
                  <w:rStyle w:val="InternetLink"/>
                  <w:rFonts w:ascii="Lato;sans-serif" w:hAnsi="Lato;sans-serif"/>
                  <w:b w:val="false"/>
                  <w:strike w:val="false"/>
                  <w:dstrike w:val="false"/>
                  <w:color w:val="000000"/>
                  <w:sz w:val="19"/>
                  <w:u w:val="none"/>
                  <w:effect w:val="none"/>
                </w:rPr>
                <w:t>96</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20">
              <w:r>
                <w:rPr>
                  <w:rStyle w:val="InternetLink"/>
                  <w:rFonts w:ascii="Lato;sans-serif" w:hAnsi="Lato;sans-serif"/>
                  <w:b w:val="false"/>
                  <w:strike w:val="false"/>
                  <w:dstrike w:val="false"/>
                  <w:color w:val="000000"/>
                  <w:sz w:val="19"/>
                  <w:u w:val="none"/>
                  <w:effect w:val="none"/>
                </w:rPr>
                <w:t>How to Revoke or Change Your Vote</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20">
              <w:r>
                <w:rPr>
                  <w:rStyle w:val="InternetLink"/>
                  <w:rFonts w:ascii="Lato;sans-serif" w:hAnsi="Lato;sans-serif"/>
                  <w:b w:val="false"/>
                  <w:strike w:val="false"/>
                  <w:dstrike w:val="false"/>
                  <w:color w:val="000000"/>
                  <w:sz w:val="19"/>
                  <w:u w:val="none"/>
                  <w:effect w:val="none"/>
                </w:rPr>
                <w:t>97</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23">
              <w:r>
                <w:rPr>
                  <w:rStyle w:val="InternetLink"/>
                  <w:rFonts w:ascii="Lato;sans-serif" w:hAnsi="Lato;sans-serif"/>
                  <w:b w:val="false"/>
                  <w:strike w:val="false"/>
                  <w:dstrike w:val="false"/>
                  <w:color w:val="000000"/>
                  <w:sz w:val="19"/>
                  <w:u w:val="none"/>
                  <w:effect w:val="none"/>
                </w:rPr>
                <w:t>Votes Required</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23">
              <w:r>
                <w:rPr>
                  <w:rStyle w:val="InternetLink"/>
                  <w:rFonts w:ascii="Lato;sans-serif" w:hAnsi="Lato;sans-serif"/>
                  <w:b w:val="false"/>
                  <w:strike w:val="false"/>
                  <w:dstrike w:val="false"/>
                  <w:color w:val="000000"/>
                  <w:sz w:val="19"/>
                  <w:u w:val="none"/>
                  <w:effect w:val="none"/>
                </w:rPr>
                <w:t>97</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26">
              <w:r>
                <w:rPr>
                  <w:rStyle w:val="InternetLink"/>
                  <w:rFonts w:ascii="Lato;sans-serif" w:hAnsi="Lato;sans-serif"/>
                  <w:b w:val="false"/>
                  <w:strike w:val="false"/>
                  <w:dstrike w:val="false"/>
                  <w:color w:val="000000"/>
                  <w:sz w:val="19"/>
                  <w:u w:val="none"/>
                  <w:effect w:val="none"/>
                </w:rPr>
                <w:t>How Abstentions Will Be Counted</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26">
              <w:r>
                <w:rPr>
                  <w:rStyle w:val="InternetLink"/>
                  <w:rFonts w:ascii="Lato;sans-serif" w:hAnsi="Lato;sans-serif"/>
                  <w:b w:val="false"/>
                  <w:strike w:val="false"/>
                  <w:dstrike w:val="false"/>
                  <w:color w:val="000000"/>
                  <w:sz w:val="19"/>
                  <w:u w:val="none"/>
                  <w:effect w:val="none"/>
                </w:rPr>
                <w:t>97</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29">
              <w:r>
                <w:rPr>
                  <w:rStyle w:val="InternetLink"/>
                  <w:rFonts w:ascii="Lato;sans-serif" w:hAnsi="Lato;sans-serif"/>
                  <w:b w:val="false"/>
                  <w:strike w:val="false"/>
                  <w:dstrike w:val="false"/>
                  <w:color w:val="000000"/>
                  <w:sz w:val="19"/>
                  <w:u w:val="none"/>
                  <w:effect w:val="none"/>
                </w:rPr>
                <w:t>Effect of Not Instructing Your Broker</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29">
              <w:r>
                <w:rPr>
                  <w:rStyle w:val="InternetLink"/>
                  <w:rFonts w:ascii="Lato;sans-serif" w:hAnsi="Lato;sans-serif"/>
                  <w:b w:val="false"/>
                  <w:strike w:val="false"/>
                  <w:dstrike w:val="false"/>
                  <w:color w:val="000000"/>
                  <w:sz w:val="19"/>
                  <w:u w:val="none"/>
                  <w:effect w:val="none"/>
                </w:rPr>
                <w:t>97</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32">
              <w:r>
                <w:rPr>
                  <w:rStyle w:val="InternetLink"/>
                  <w:rFonts w:ascii="Lato;sans-serif" w:hAnsi="Lato;sans-serif"/>
                  <w:b w:val="false"/>
                  <w:strike w:val="false"/>
                  <w:dstrike w:val="false"/>
                  <w:color w:val="000000"/>
                  <w:sz w:val="19"/>
                  <w:u w:val="none"/>
                  <w:effect w:val="none"/>
                </w:rPr>
                <w:t>Direct Stock Purchase and Dividend Reinvestment Plan</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32">
              <w:r>
                <w:rPr>
                  <w:rStyle w:val="InternetLink"/>
                  <w:rFonts w:ascii="Lato;sans-serif" w:hAnsi="Lato;sans-serif"/>
                  <w:b w:val="false"/>
                  <w:strike w:val="false"/>
                  <w:dstrike w:val="false"/>
                  <w:color w:val="000000"/>
                  <w:sz w:val="19"/>
                  <w:u w:val="none"/>
                  <w:effect w:val="none"/>
                </w:rPr>
                <w:t>97</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35">
              <w:r>
                <w:rPr>
                  <w:rStyle w:val="InternetLink"/>
                  <w:rFonts w:ascii="Lato;sans-serif" w:hAnsi="Lato;sans-serif"/>
                  <w:b w:val="false"/>
                  <w:strike w:val="false"/>
                  <w:dstrike w:val="false"/>
                  <w:color w:val="000000"/>
                  <w:sz w:val="19"/>
                  <w:u w:val="none"/>
                  <w:effect w:val="none"/>
                </w:rPr>
                <w:t>Employee Benefit Plans</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35">
              <w:r>
                <w:rPr>
                  <w:rStyle w:val="InternetLink"/>
                  <w:rFonts w:ascii="Lato;sans-serif" w:hAnsi="Lato;sans-serif"/>
                  <w:b w:val="false"/>
                  <w:strike w:val="false"/>
                  <w:dstrike w:val="false"/>
                  <w:color w:val="000000"/>
                  <w:sz w:val="19"/>
                  <w:u w:val="none"/>
                  <w:effect w:val="none"/>
                </w:rPr>
                <w:t>98</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38">
              <w:r>
                <w:rPr>
                  <w:rStyle w:val="InternetLink"/>
                  <w:rFonts w:ascii="Lato;sans-serif" w:hAnsi="Lato;sans-serif"/>
                  <w:b w:val="false"/>
                  <w:strike w:val="false"/>
                  <w:dstrike w:val="false"/>
                  <w:color w:val="000000"/>
                  <w:sz w:val="19"/>
                  <w:u w:val="none"/>
                  <w:effect w:val="none"/>
                </w:rPr>
                <w:t>Attending the Virtual Annual Meeting</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38">
              <w:r>
                <w:rPr>
                  <w:rStyle w:val="InternetLink"/>
                  <w:rFonts w:ascii="Lato;sans-serif" w:hAnsi="Lato;sans-serif"/>
                  <w:b w:val="false"/>
                  <w:strike w:val="false"/>
                  <w:dstrike w:val="false"/>
                  <w:color w:val="000000"/>
                  <w:sz w:val="19"/>
                  <w:u w:val="none"/>
                  <w:effect w:val="none"/>
                </w:rPr>
                <w:t>98</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41">
              <w:r>
                <w:rPr>
                  <w:rStyle w:val="InternetLink"/>
                  <w:rFonts w:ascii="Lato;sans-serif" w:hAnsi="Lato;sans-serif"/>
                  <w:b w:val="false"/>
                  <w:strike w:val="false"/>
                  <w:dstrike w:val="false"/>
                  <w:color w:val="000000"/>
                  <w:sz w:val="19"/>
                  <w:u w:val="none"/>
                  <w:effect w:val="none"/>
                </w:rPr>
                <w:t>Costs of Solicitation</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41">
              <w:r>
                <w:rPr>
                  <w:rStyle w:val="InternetLink"/>
                  <w:rFonts w:ascii="Lato;sans-serif" w:hAnsi="Lato;sans-serif"/>
                  <w:b w:val="false"/>
                  <w:strike w:val="false"/>
                  <w:dstrike w:val="false"/>
                  <w:color w:val="000000"/>
                  <w:sz w:val="19"/>
                  <w:u w:val="none"/>
                  <w:effect w:val="none"/>
                </w:rPr>
                <w:t>99</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44">
              <w:r>
                <w:rPr>
                  <w:rStyle w:val="InternetLink"/>
                  <w:rFonts w:ascii="Lato;sans-serif" w:hAnsi="Lato;sans-serif"/>
                  <w:b w:val="false"/>
                  <w:strike w:val="false"/>
                  <w:dstrike w:val="false"/>
                  <w:color w:val="000000"/>
                  <w:sz w:val="19"/>
                  <w:u w:val="none"/>
                  <w:effect w:val="none"/>
                </w:rPr>
                <w:t>Stockholders Sharing the Same Household</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44">
              <w:r>
                <w:rPr>
                  <w:rStyle w:val="InternetLink"/>
                  <w:rFonts w:ascii="Lato;sans-serif" w:hAnsi="Lato;sans-serif"/>
                  <w:b w:val="false"/>
                  <w:strike w:val="false"/>
                  <w:dstrike w:val="false"/>
                  <w:color w:val="000000"/>
                  <w:sz w:val="19"/>
                  <w:u w:val="none"/>
                  <w:effect w:val="none"/>
                </w:rPr>
                <w:t>99</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47">
              <w:r>
                <w:rPr>
                  <w:rStyle w:val="InternetLink"/>
                  <w:rFonts w:ascii="Lato;sans-serif" w:hAnsi="Lato;sans-serif"/>
                  <w:b w:val="false"/>
                  <w:strike w:val="false"/>
                  <w:dstrike w:val="false"/>
                  <w:color w:val="000000"/>
                  <w:sz w:val="19"/>
                  <w:u w:val="none"/>
                  <w:effect w:val="none"/>
                </w:rPr>
                <w:t>Stockholder Proposals for Inclusion in Next Year's Proxy Statement</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47">
              <w:r>
                <w:rPr>
                  <w:rStyle w:val="InternetLink"/>
                  <w:rFonts w:ascii="Lato;sans-serif" w:hAnsi="Lato;sans-serif"/>
                  <w:b w:val="false"/>
                  <w:strike w:val="false"/>
                  <w:dstrike w:val="false"/>
                  <w:color w:val="000000"/>
                  <w:sz w:val="19"/>
                  <w:u w:val="none"/>
                  <w:effect w:val="none"/>
                </w:rPr>
                <w:t>99</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50">
              <w:r>
                <w:rPr>
                  <w:rStyle w:val="InternetLink"/>
                  <w:rFonts w:ascii="Lato;sans-serif" w:hAnsi="Lato;sans-serif"/>
                  <w:b w:val="false"/>
                  <w:strike w:val="false"/>
                  <w:dstrike w:val="false"/>
                  <w:color w:val="000000"/>
                  <w:sz w:val="19"/>
                  <w:u w:val="none"/>
                  <w:effect w:val="none"/>
                </w:rPr>
                <w:t>Stockholder Director Nominees for Inclusion in Next Year's Proxy Statement</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50">
              <w:r>
                <w:rPr>
                  <w:rStyle w:val="InternetLink"/>
                  <w:rFonts w:ascii="Lato;sans-serif" w:hAnsi="Lato;sans-serif"/>
                  <w:b w:val="false"/>
                  <w:strike w:val="false"/>
                  <w:dstrike w:val="false"/>
                  <w:color w:val="000000"/>
                  <w:sz w:val="19"/>
                  <w:u w:val="none"/>
                  <w:effect w:val="none"/>
                </w:rPr>
                <w:t>100</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53">
              <w:r>
                <w:rPr>
                  <w:rStyle w:val="InternetLink"/>
                  <w:rFonts w:ascii="Lato;sans-serif" w:hAnsi="Lato;sans-serif"/>
                  <w:b w:val="false"/>
                  <w:strike w:val="false"/>
                  <w:dstrike w:val="false"/>
                  <w:color w:val="000000"/>
                  <w:sz w:val="19"/>
                  <w:u w:val="none"/>
                  <w:effect w:val="none"/>
                </w:rPr>
                <w:t>Stockholder Director Nominees Not Included in Next Year's Proxy Statement</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53">
              <w:r>
                <w:rPr>
                  <w:rStyle w:val="InternetLink"/>
                  <w:rFonts w:ascii="Lato;sans-serif" w:hAnsi="Lato;sans-serif"/>
                  <w:b w:val="false"/>
                  <w:strike w:val="false"/>
                  <w:dstrike w:val="false"/>
                  <w:color w:val="000000"/>
                  <w:sz w:val="19"/>
                  <w:u w:val="none"/>
                  <w:effect w:val="none"/>
                </w:rPr>
                <w:t>100</w:t>
              </w:r>
            </w:hyperlink>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56">
              <w:r>
                <w:rPr>
                  <w:rStyle w:val="InternetLink"/>
                  <w:rFonts w:ascii="Lato;sans-serif" w:hAnsi="Lato;sans-serif"/>
                  <w:b w:val="false"/>
                  <w:strike w:val="false"/>
                  <w:dstrike w:val="false"/>
                  <w:color w:val="000000"/>
                  <w:sz w:val="19"/>
                  <w:u w:val="none"/>
                  <w:effect w:val="none"/>
                </w:rPr>
                <w:t>Other Stockholder Proposals Not Included in Next Year's Proxy Statement</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56">
              <w:r>
                <w:rPr>
                  <w:rStyle w:val="InternetLink"/>
                  <w:rFonts w:ascii="Lato;sans-serif" w:hAnsi="Lato;sans-serif"/>
                  <w:b w:val="false"/>
                  <w:strike w:val="false"/>
                  <w:dstrike w:val="false"/>
                  <w:color w:val="000000"/>
                  <w:sz w:val="19"/>
                  <w:u w:val="none"/>
                  <w:effect w:val="none"/>
                </w:rPr>
                <w:t>100</w:t>
              </w:r>
            </w:hyperlink>
          </w:p>
        </w:tc>
      </w:tr>
      <w:tr>
        <w:trPr/>
        <w:tc>
          <w:tcPr>
            <w:tcW w:w="5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00769f51dfdb44b384777a5117e5dd26_259">
              <w:r>
                <w:rPr>
                  <w:rStyle w:val="InternetLink"/>
                  <w:rFonts w:ascii="Lato Bold;sans-serif" w:hAnsi="Lato Bold;sans-serif"/>
                  <w:b/>
                  <w:strike w:val="false"/>
                  <w:dstrike w:val="false"/>
                  <w:color w:val="000000"/>
                  <w:sz w:val="19"/>
                  <w:u w:val="none"/>
                  <w:effect w:val="none"/>
                </w:rPr>
                <w:t>Other Matters to be Presented at the Annual Meeting</w:t>
              </w:r>
            </w:hyperlink>
          </w:p>
        </w:tc>
        <w:tc>
          <w:tcPr>
            <w:tcW w:w="55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00769f51dfdb44b384777a5117e5dd26_259">
              <w:r>
                <w:rPr>
                  <w:rStyle w:val="InternetLink"/>
                  <w:rFonts w:ascii="Lato Bold;sans-serif" w:hAnsi="Lato Bold;sans-serif"/>
                  <w:b/>
                  <w:strike w:val="false"/>
                  <w:dstrike w:val="false"/>
                  <w:color w:val="000000"/>
                  <w:sz w:val="19"/>
                  <w:u w:val="none"/>
                  <w:effect w:val="none"/>
                </w:rPr>
                <w:t>101</w:t>
              </w:r>
            </w:hyperlink>
          </w:p>
        </w:tc>
      </w:tr>
      <w:tr>
        <w:trPr/>
        <w:tc>
          <w:tcPr>
            <w:tcW w:w="5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12" w:before="0" w:after="0"/>
              <w:jc w:val="left"/>
              <w:rPr/>
            </w:pPr>
            <w:hyperlink w:anchor="i00769f51dfdb44b384777a5117e5dd26_265">
              <w:r>
                <w:rPr>
                  <w:rStyle w:val="InternetLink"/>
                  <w:rFonts w:ascii="Lato Bold;sans-serif" w:hAnsi="Lato Bold;sans-serif"/>
                  <w:b/>
                  <w:strike w:val="false"/>
                  <w:dstrike w:val="false"/>
                  <w:color w:val="000000"/>
                  <w:sz w:val="19"/>
                  <w:u w:val="none"/>
                  <w:effect w:val="none"/>
                </w:rPr>
                <w:t>Appendix A</w:t>
              </w:r>
            </w:hyperlink>
          </w:p>
        </w:tc>
        <w:tc>
          <w:tcPr>
            <w:tcW w:w="5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0"/>
              <w:jc w:val="right"/>
              <w:rPr/>
            </w:pPr>
            <w:hyperlink w:anchor="i00769f51dfdb44b384777a5117e5dd26_265">
              <w:r>
                <w:rPr>
                  <w:rStyle w:val="InternetLink"/>
                  <w:rFonts w:ascii="Lato Bold;sans-serif" w:hAnsi="Lato Bold;sans-serif"/>
                  <w:b/>
                  <w:strike w:val="false"/>
                  <w:dstrike w:val="false"/>
                  <w:color w:val="000080"/>
                  <w:sz w:val="19"/>
                  <w:u w:val="single"/>
                  <w:effect w:val="none"/>
                </w:rPr>
                <w:t>A-</w:t>
              </w:r>
            </w:hyperlink>
            <w:hyperlink w:anchor="i00769f51dfdb44b384777a5117e5dd26_265">
              <w:r>
                <w:rPr>
                  <w:rStyle w:val="InternetLink"/>
                  <w:rFonts w:ascii="Lato Bold;sans-serif" w:hAnsi="Lato Bold;sans-serif"/>
                  <w:b/>
                  <w:strike w:val="false"/>
                  <w:dstrike w:val="false"/>
                  <w:color w:val="000080"/>
                  <w:sz w:val="19"/>
                  <w:u w:val="single"/>
                  <w:effect w:val="non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629920"/>
                <wp:effectExtent l="0" t="0" r="0" b="0"/>
                <wp:wrapNone/>
                <wp:docPr id="22" name="Frame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47" w:type="dxa"/>
                              <w:jc w:val="right"/>
                              <w:tblInd w:w="0" w:type="dxa"/>
                              <w:tblLayout w:type="fixed"/>
                              <w:tblCellMar>
                                <w:top w:w="28" w:type="dxa"/>
                                <w:left w:w="28" w:type="dxa"/>
                                <w:bottom w:w="28" w:type="dxa"/>
                                <w:right w:w="28" w:type="dxa"/>
                              </w:tblCellMar>
                            </w:tblPr>
                            <w:tblGrid>
                              <w:gridCol w:w="787"/>
                              <w:gridCol w:w="692"/>
                              <w:gridCol w:w="696"/>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47" w:type="dxa"/>
                        <w:jc w:val="right"/>
                        <w:tblInd w:w="0" w:type="dxa"/>
                        <w:tblLayout w:type="fixed"/>
                        <w:tblCellMar>
                          <w:top w:w="28" w:type="dxa"/>
                          <w:left w:w="28" w:type="dxa"/>
                          <w:bottom w:w="28" w:type="dxa"/>
                          <w:right w:w="28" w:type="dxa"/>
                        </w:tblCellMar>
                      </w:tblPr>
                      <w:tblGrid>
                        <w:gridCol w:w="787"/>
                        <w:gridCol w:w="692"/>
                        <w:gridCol w:w="696"/>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3</w:t>
                            </w:r>
                          </w:p>
                        </w:tc>
                      </w:tr>
                    </w:tbl>
                    <w:p>
                      <w:pPr>
                        <w:pStyle w:val="TextBody"/>
                        <w:bidi w:val="0"/>
                        <w:spacing w:before="0" w:after="283"/>
                        <w:jc w:val="left"/>
                        <w:rPr/>
                      </w:pPr>
                      <w:r>
                        <w:rPr/>
                      </w:r>
                    </w:p>
                  </w:txbxContent>
                </v:textbox>
                <w10:wrap type="none"/>
              </v:rect>
            </w:pict>
          </mc:Fallback>
        </mc:AlternateContent>
      </w:r>
    </w:p>
    <w:tbl>
      <w:tblPr>
        <w:tblW w:w="893" w:type="dxa"/>
        <w:jc w:val="left"/>
        <w:tblInd w:w="0" w:type="dxa"/>
        <w:tblLayout w:type="fixed"/>
        <w:tblCellMar>
          <w:top w:w="28" w:type="dxa"/>
          <w:left w:w="28" w:type="dxa"/>
          <w:bottom w:w="28" w:type="dxa"/>
          <w:right w:w="28" w:type="dxa"/>
        </w:tblCellMar>
      </w:tblPr>
      <w:tblGrid>
        <w:gridCol w:w="124"/>
        <w:gridCol w:w="109"/>
        <w:gridCol w:w="109"/>
        <w:gridCol w:w="161"/>
        <w:gridCol w:w="161"/>
        <w:gridCol w:w="2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228600" cy="180975"/>
                          </a:xfrm>
                          <a:prstGeom prst="rect">
                            <a:avLst/>
                          </a:prstGeom>
                        </pic:spPr>
                      </pic:pic>
                    </a:graphicData>
                  </a:graphic>
                </wp:inline>
              </w:drawing>
            </w:r>
            <w:r>
              <w:rPr>
                <w:color w:val="000000"/>
              </w:rPr>
              <w:t> </w:t>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40"/>
        <w:jc w:val="left"/>
        <w:rPr>
          <w:rFonts w:ascii="Lato;sans-serif" w:hAnsi="Lato;sans-serif"/>
          <w:b w:val="false"/>
          <w:color w:val="0046C8"/>
          <w:sz w:val="48"/>
        </w:rPr>
      </w:pPr>
      <w:r>
        <w:rPr>
          <w:rFonts w:ascii="Lato;sans-serif" w:hAnsi="Lato;sans-serif"/>
          <w:b w:val="false"/>
          <w:color w:val="0046C8"/>
          <w:sz w:val="48"/>
        </w:rPr>
        <w:t>Proxy Summary</w:t>
      </w:r>
    </w:p>
    <w:p>
      <w:pPr>
        <w:pStyle w:val="TextBody"/>
        <w:bidi w:val="0"/>
        <w:spacing w:lineRule="auto" w:line="312" w:before="40" w:after="40"/>
        <w:jc w:val="left"/>
        <w:rPr>
          <w:rFonts w:ascii="Lato;sans-serif" w:hAnsi="Lato;sans-serif"/>
          <w:b w:val="false"/>
          <w:i/>
          <w:color w:val="000000"/>
          <w:sz w:val="19"/>
        </w:rPr>
      </w:pPr>
      <w:r>
        <w:rPr>
          <w:rFonts w:ascii="Lato;sans-serif" w:hAnsi="Lato;sans-serif"/>
          <w:b w:val="false"/>
          <w:i/>
          <w:color w:val="000000"/>
          <w:sz w:val="19"/>
        </w:rPr>
        <w:t>This section contains only selected information. Stockholders should review the entire Proxy Statement before casting their votes.</w:t>
      </w:r>
    </w:p>
    <w:tbl>
      <w:tblPr>
        <w:tblW w:w="6657" w:type="dxa"/>
        <w:jc w:val="left"/>
        <w:tblInd w:w="0" w:type="dxa"/>
        <w:tblLayout w:type="fixed"/>
        <w:tblCellMar>
          <w:top w:w="28" w:type="dxa"/>
          <w:left w:w="28" w:type="dxa"/>
          <w:bottom w:w="28" w:type="dxa"/>
          <w:right w:w="28" w:type="dxa"/>
        </w:tblCellMar>
      </w:tblPr>
      <w:tblGrid>
        <w:gridCol w:w="1661"/>
        <w:gridCol w:w="1461"/>
        <w:gridCol w:w="1463"/>
        <w:gridCol w:w="231"/>
        <w:gridCol w:w="231"/>
        <w:gridCol w:w="231"/>
        <w:gridCol w:w="402"/>
        <w:gridCol w:w="402"/>
        <w:gridCol w:w="575"/>
      </w:tblGrid>
      <w:tr>
        <w:trPr/>
        <w:tc>
          <w:tcPr>
            <w:tcW w:w="16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4585" w:type="dxa"/>
            <w:gridSpan w:val="3"/>
            <w:tcBorders/>
            <w:shd w:fill="0046C8" w:val="clear"/>
            <w:tcMar>
              <w:top w:w="0" w:type="dxa"/>
              <w:left w:w="0" w:type="dxa"/>
              <w:bottom w:w="0" w:type="dxa"/>
              <w:right w:w="0" w:type="dxa"/>
            </w:tcMar>
            <w:vAlign w:val="center"/>
          </w:tcPr>
          <w:p>
            <w:pPr>
              <w:pStyle w:val="TableContents"/>
              <w:bidi w:val="0"/>
              <w:spacing w:lineRule="auto" w:line="312" w:before="120" w:after="120"/>
              <w:jc w:val="left"/>
              <w:rPr>
                <w:rFonts w:ascii="Lato Bold;sans-serif" w:hAnsi="Lato Bold;sans-serif"/>
                <w:b/>
                <w:color w:val="FFFFFF"/>
                <w:sz w:val="28"/>
              </w:rPr>
            </w:pPr>
            <w:r>
              <w:rPr>
                <w:rFonts w:ascii="Lato Bold;sans-serif" w:hAnsi="Lato Bold;sans-serif"/>
                <w:b/>
                <w:color w:val="FFFFFF"/>
                <w:sz w:val="28"/>
              </w:rPr>
              <w:t>PROPOSAL 1</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5" w:type="dxa"/>
            <w:gridSpan w:val="3"/>
            <w:tcBorders>
              <w:top w:val="single" w:sz="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46C8"/>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8" w:type="dxa"/>
            <w:gridSpan w:val="6"/>
            <w:tcBorders/>
            <w:tcMar>
              <w:top w:w="0" w:type="dxa"/>
              <w:left w:w="0" w:type="dxa"/>
              <w:bottom w:w="0" w:type="dxa"/>
              <w:right w:w="0" w:type="dxa"/>
            </w:tcMar>
            <w:vAlign w:val="center"/>
          </w:tcPr>
          <w:p>
            <w:pPr>
              <w:pStyle w:val="TableContents"/>
              <w:bidi w:val="0"/>
              <w:spacing w:lineRule="auto" w:line="264" w:before="0" w:after="0"/>
              <w:jc w:val="left"/>
              <w:rPr>
                <w:rFonts w:ascii="Lato Bold;sans-serif" w:hAnsi="Lato Bold;sans-serif"/>
                <w:b/>
                <w:color w:val="0046C8"/>
                <w:sz w:val="36"/>
              </w:rPr>
            </w:pPr>
            <w:r>
              <w:rPr>
                <w:rFonts w:ascii="Lato Bold;sans-serif" w:hAnsi="Lato Bold;sans-serif"/>
                <w:b/>
                <w:color w:val="0046C8"/>
                <w:sz w:val="36"/>
              </w:rPr>
              <w:t>Election of directors</w:t>
            </w:r>
          </w:p>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Election of 13 directors to serve for a one-year term</w:t>
            </w:r>
          </w:p>
          <w:p>
            <w:pPr>
              <w:pStyle w:val="TableContents"/>
              <w:bidi w:val="0"/>
              <w:spacing w:lineRule="auto" w:line="312" w:before="120" w:after="283"/>
              <w:jc w:val="left"/>
              <w:rPr/>
            </w:pPr>
            <w:r>
              <w:rPr>
                <w:rFonts w:ascii="Lato;sans-serif" w:hAnsi="Lato;sans-serif"/>
                <w:b w:val="false"/>
                <w:color w:val="000000"/>
                <w:sz w:val="19"/>
              </w:rPr>
              <w:t xml:space="preserve">The Board recommends a vote </w:t>
            </w:r>
            <w:r>
              <w:rPr>
                <w:rFonts w:ascii="Lato Bold;sans-serif" w:hAnsi="Lato Bold;sans-serif"/>
                <w:b/>
                <w:color w:val="0046C8"/>
                <w:sz w:val="19"/>
              </w:rPr>
              <w:t>FOR</w:t>
            </w:r>
            <w:r>
              <w:rPr>
                <w:color w:val="000000"/>
              </w:rPr>
              <w:t xml:space="preserve"> </w:t>
            </w:r>
            <w:r>
              <w:rPr>
                <w:rFonts w:ascii="Lato;sans-serif" w:hAnsi="Lato;sans-serif"/>
                <w:b w:val="false"/>
                <w:color w:val="000000"/>
                <w:sz w:val="19"/>
              </w:rPr>
              <w:t xml:space="preserve">all nominees. </w:t>
            </w:r>
            <w:r>
              <w:rPr/>
              <w:drawing>
                <wp:inline distT="0" distB="0" distL="0" distR="0">
                  <wp:extent cx="133350" cy="104775"/>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133350" cy="104775"/>
                          </a:xfrm>
                          <a:prstGeom prst="rect">
                            <a:avLst/>
                          </a:prstGeom>
                        </pic:spPr>
                      </pic:pic>
                    </a:graphicData>
                  </a:graphic>
                </wp:inline>
              </w:drawing>
            </w:r>
          </w:p>
        </w:tc>
        <w:tc>
          <w:tcPr>
            <w:tcW w:w="1379" w:type="dxa"/>
            <w:gridSpan w:val="3"/>
            <w:tcBorders/>
            <w:shd w:fill="CCDAF4" w:val="clear"/>
            <w:tcMar>
              <w:top w:w="0" w:type="dxa"/>
              <w:left w:w="0" w:type="dxa"/>
              <w:bottom w:w="0" w:type="dxa"/>
              <w:right w:w="0" w:type="dxa"/>
            </w:tcMar>
            <w:vAlign w:val="center"/>
          </w:tcPr>
          <w:p>
            <w:pPr>
              <w:pStyle w:val="TableContents"/>
              <w:bidi w:val="0"/>
              <w:spacing w:lineRule="auto" w:line="312" w:before="120" w:after="283"/>
              <w:jc w:val="right"/>
              <w:rPr/>
            </w:pPr>
            <w:r>
              <w:rPr>
                <w:rFonts w:ascii="Lato;sans-serif" w:hAnsi="Lato;sans-serif"/>
                <w:b w:val="false"/>
                <w:color w:val="414042"/>
                <w:sz w:val="19"/>
              </w:rPr>
              <w:t>See page</w:t>
            </w:r>
            <w:r>
              <w:rPr>
                <w:color w:val="7891A5"/>
              </w:rPr>
              <w:t xml:space="preserve"> </w:t>
            </w:r>
            <w:hyperlink w:anchor="i00769f51dfdb44b384777a5117e5dd26_91">
              <w:r>
                <w:rPr>
                  <w:rStyle w:val="InternetLink"/>
                  <w:rFonts w:ascii="Lato Bold;sans-serif" w:hAnsi="Lato Bold;sans-serif"/>
                  <w:b/>
                  <w:strike w:val="false"/>
                  <w:dstrike w:val="false"/>
                  <w:color w:val="0046C8"/>
                  <w:sz w:val="19"/>
                  <w:u w:val="none"/>
                  <w:effect w:val="none"/>
                </w:rPr>
                <w:t>27</w:t>
              </w:r>
            </w:hyperlink>
          </w:p>
        </w:tc>
      </w:tr>
      <w:tr>
        <w:trPr/>
        <w:tc>
          <w:tcPr>
            <w:tcW w:w="4585"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16" w:space="0" w:color="0046C8"/>
            </w:tcBorders>
            <w:shd w:fill="CCDA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40"/>
        <w:jc w:val="left"/>
        <w:rPr>
          <w:rFonts w:ascii="Lato;sans-serif" w:hAnsi="Lato;sans-serif"/>
          <w:b w:val="false"/>
          <w:color w:val="000000"/>
          <w:sz w:val="38"/>
        </w:rPr>
      </w:pPr>
      <w:r>
        <w:rPr>
          <w:rFonts w:ascii="Lato;sans-serif" w:hAnsi="Lato;sans-serif"/>
          <w:b w:val="false"/>
          <w:color w:val="000000"/>
          <w:sz w:val="38"/>
        </w:rPr>
        <w:t>Our Board Nominees</w:t>
      </w:r>
    </w:p>
    <w:p>
      <w:pPr>
        <w:pStyle w:val="TextBody"/>
        <w:bidi w:val="0"/>
        <w:spacing w:lineRule="auto" w:line="288" w:before="40" w:after="283"/>
        <w:jc w:val="left"/>
        <w:rPr>
          <w:rFonts w:ascii="Lato;sans-serif" w:hAnsi="Lato;sans-serif"/>
          <w:b w:val="false"/>
          <w:color w:val="000000"/>
          <w:sz w:val="19"/>
        </w:rPr>
      </w:pPr>
      <w:r>
        <w:rPr>
          <w:rFonts w:ascii="Lato;sans-serif" w:hAnsi="Lato;sans-serif"/>
          <w:b w:val="false"/>
          <w:color w:val="000000"/>
          <w:sz w:val="19"/>
        </w:rPr>
        <w:t>We believe our director nominees collectively possess the necessary experience and attributes to effectively guide our company.</w:t>
      </w:r>
    </w:p>
    <w:tbl>
      <w:tblPr>
        <w:tblW w:w="10205" w:type="dxa"/>
        <w:jc w:val="left"/>
        <w:tblInd w:w="0" w:type="dxa"/>
        <w:tblLayout w:type="fixed"/>
        <w:tblCellMar>
          <w:top w:w="28" w:type="dxa"/>
          <w:left w:w="28" w:type="dxa"/>
          <w:bottom w:w="28" w:type="dxa"/>
          <w:right w:w="28" w:type="dxa"/>
        </w:tblCellMar>
      </w:tblPr>
      <w:tblGrid>
        <w:gridCol w:w="446"/>
        <w:gridCol w:w="378"/>
        <w:gridCol w:w="378"/>
        <w:gridCol w:w="1175"/>
        <w:gridCol w:w="1175"/>
        <w:gridCol w:w="1119"/>
        <w:gridCol w:w="155"/>
        <w:gridCol w:w="155"/>
        <w:gridCol w:w="156"/>
        <w:gridCol w:w="285"/>
        <w:gridCol w:w="285"/>
        <w:gridCol w:w="286"/>
        <w:gridCol w:w="425"/>
        <w:gridCol w:w="425"/>
        <w:gridCol w:w="426"/>
        <w:gridCol w:w="384"/>
        <w:gridCol w:w="384"/>
        <w:gridCol w:w="386"/>
        <w:gridCol w:w="116"/>
        <w:gridCol w:w="116"/>
        <w:gridCol w:w="116"/>
        <w:gridCol w:w="175"/>
        <w:gridCol w:w="175"/>
        <w:gridCol w:w="176"/>
        <w:gridCol w:w="165"/>
        <w:gridCol w:w="165"/>
        <w:gridCol w:w="166"/>
        <w:gridCol w:w="116"/>
        <w:gridCol w:w="116"/>
        <w:gridCol w:w="180"/>
      </w:tblGrid>
      <w:tr>
        <w:trPr/>
        <w:tc>
          <w:tcPr>
            <w:tcW w:w="4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671" w:type="dxa"/>
            <w:gridSpan w:val="6"/>
            <w:vMerge w:val="restart"/>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Name and Primary Occupation</w:t>
            </w:r>
          </w:p>
        </w:tc>
        <w:tc>
          <w:tcPr>
            <w:tcW w:w="4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6"/>
              </w:rPr>
            </w:pPr>
            <w:r>
              <w:rPr>
                <w:rFonts w:ascii="Lato Bold;sans-serif" w:hAnsi="Lato Bold;sans-serif"/>
                <w:b/>
                <w:color w:val="000000"/>
                <w:sz w:val="16"/>
              </w:rPr>
              <w:t>Age</w:t>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64" w:before="0" w:after="0"/>
              <w:jc w:val="center"/>
              <w:rPr>
                <w:rFonts w:ascii="Lato Bold;sans-serif" w:hAnsi="Lato Bold;sans-serif"/>
                <w:b/>
                <w:color w:val="000000"/>
                <w:sz w:val="16"/>
              </w:rPr>
            </w:pPr>
            <w:r>
              <w:rPr>
                <w:rFonts w:ascii="Lato Bold;sans-serif" w:hAnsi="Lato Bold;sans-serif"/>
                <w:b/>
                <w:color w:val="000000"/>
                <w:sz w:val="16"/>
              </w:rPr>
              <w:t>Director</w:t>
            </w:r>
          </w:p>
          <w:p>
            <w:pPr>
              <w:pStyle w:val="TableContents"/>
              <w:bidi w:val="0"/>
              <w:spacing w:lineRule="auto" w:line="264" w:before="0" w:after="0"/>
              <w:jc w:val="center"/>
              <w:rPr>
                <w:rFonts w:ascii="Lato Bold;sans-serif" w:hAnsi="Lato Bold;sans-serif"/>
                <w:b/>
                <w:color w:val="000000"/>
                <w:sz w:val="16"/>
              </w:rPr>
            </w:pPr>
            <w:r>
              <w:rPr>
                <w:rFonts w:ascii="Lato Bold;sans-serif" w:hAnsi="Lato Bold;sans-serif"/>
                <w:b/>
                <w:color w:val="000000"/>
                <w:sz w:val="16"/>
              </w:rPr>
              <w:t>Since</w:t>
            </w:r>
          </w:p>
        </w:tc>
        <w:tc>
          <w:tcPr>
            <w:tcW w:w="12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6"/>
              </w:rPr>
            </w:pPr>
            <w:r>
              <w:rPr>
                <w:rFonts w:ascii="Lato Bold;sans-serif" w:hAnsi="Lato Bold;sans-serif"/>
                <w:b/>
                <w:color w:val="000000"/>
                <w:sz w:val="16"/>
              </w:rPr>
              <w:t>Independent</w:t>
            </w:r>
          </w:p>
        </w:tc>
        <w:tc>
          <w:tcPr>
            <w:tcW w:w="1154" w:type="dxa"/>
            <w:gridSpan w:val="3"/>
            <w:vMerge w:val="restart"/>
            <w:tcBorders/>
            <w:tcMar>
              <w:top w:w="0" w:type="dxa"/>
              <w:left w:w="0" w:type="dxa"/>
              <w:bottom w:w="0" w:type="dxa"/>
              <w:right w:w="0" w:type="dxa"/>
            </w:tcMar>
            <w:vAlign w:val="center"/>
          </w:tcPr>
          <w:p>
            <w:pPr>
              <w:pStyle w:val="TableContents"/>
              <w:bidi w:val="0"/>
              <w:spacing w:lineRule="auto" w:line="264" w:before="0" w:after="0"/>
              <w:jc w:val="center"/>
              <w:rPr>
                <w:rFonts w:ascii="Lato Bold;sans-serif" w:hAnsi="Lato Bold;sans-serif"/>
                <w:b/>
                <w:color w:val="000000"/>
                <w:sz w:val="16"/>
              </w:rPr>
            </w:pPr>
            <w:r>
              <w:rPr>
                <w:rFonts w:ascii="Lato Bold;sans-serif" w:hAnsi="Lato Bold;sans-serif"/>
                <w:b/>
                <w:color w:val="000000"/>
                <w:sz w:val="16"/>
              </w:rPr>
              <w:t>Other Public</w:t>
            </w:r>
          </w:p>
          <w:p>
            <w:pPr>
              <w:pStyle w:val="TableContents"/>
              <w:bidi w:val="0"/>
              <w:spacing w:lineRule="auto" w:line="264" w:before="0" w:after="0"/>
              <w:jc w:val="center"/>
              <w:rPr>
                <w:rFonts w:ascii="Lato Bold;sans-serif" w:hAnsi="Lato Bold;sans-serif"/>
                <w:b/>
                <w:color w:val="000000"/>
                <w:sz w:val="16"/>
              </w:rPr>
            </w:pPr>
            <w:r>
              <w:rPr>
                <w:rFonts w:ascii="Lato Bold;sans-serif" w:hAnsi="Lato Bold;sans-serif"/>
                <w:b/>
                <w:color w:val="000000"/>
                <w:sz w:val="16"/>
              </w:rPr>
              <w:t>Company</w:t>
            </w:r>
          </w:p>
          <w:p>
            <w:pPr>
              <w:pStyle w:val="TableContents"/>
              <w:bidi w:val="0"/>
              <w:spacing w:lineRule="auto" w:line="264" w:before="0" w:after="0"/>
              <w:jc w:val="center"/>
              <w:rPr>
                <w:rFonts w:ascii="Lato Bold;sans-serif" w:hAnsi="Lato Bold;sans-serif"/>
                <w:b/>
                <w:color w:val="000000"/>
                <w:sz w:val="16"/>
              </w:rPr>
            </w:pPr>
            <w:r>
              <w:rPr>
                <w:rFonts w:ascii="Lato Bold;sans-serif" w:hAnsi="Lato Bold;sans-serif"/>
                <w:b/>
                <w:color w:val="000000"/>
                <w:sz w:val="16"/>
              </w:rPr>
              <w:t>Boards</w:t>
            </w:r>
          </w:p>
        </w:tc>
        <w:tc>
          <w:tcPr>
            <w:tcW w:w="1782" w:type="dxa"/>
            <w:gridSpan w:val="12"/>
            <w:tcBorders/>
            <w:tcMar>
              <w:top w:w="0" w:type="dxa"/>
              <w:left w:w="0" w:type="dxa"/>
              <w:bottom w:w="0" w:type="dxa"/>
              <w:right w:w="0" w:type="dxa"/>
            </w:tcMar>
            <w:vAlign w:val="center"/>
          </w:tcPr>
          <w:p>
            <w:pPr>
              <w:pStyle w:val="TableContents"/>
              <w:bidi w:val="0"/>
              <w:spacing w:lineRule="auto" w:line="264" w:before="0" w:after="283"/>
              <w:jc w:val="center"/>
              <w:rPr>
                <w:rFonts w:ascii="Lato Bold;sans-serif" w:hAnsi="Lato Bold;sans-serif"/>
                <w:b/>
                <w:color w:val="000000"/>
                <w:sz w:val="16"/>
              </w:rPr>
            </w:pPr>
            <w:r>
              <w:rPr>
                <w:rFonts w:ascii="Lato Bold;sans-serif" w:hAnsi="Lato Bold;sans-serif"/>
                <w:b/>
                <w:color w:val="000000"/>
                <w:sz w:val="16"/>
              </w:rPr>
              <w:t>Committee</w:t>
              <w:br/>
              <w:t>Memberships*</w:t>
            </w:r>
          </w:p>
        </w:tc>
      </w:tr>
      <w:tr>
        <w:trPr/>
        <w:tc>
          <w:tcPr>
            <w:tcW w:w="4671" w:type="dxa"/>
            <w:gridSpan w:val="6"/>
            <w:vMerge w:val="continue"/>
            <w:tcBorders/>
            <w:tcMar>
              <w:top w:w="0" w:type="dxa"/>
              <w:left w:w="0" w:type="dxa"/>
              <w:bottom w:w="0" w:type="dxa"/>
              <w:right w:w="0" w:type="dxa"/>
            </w:tcMar>
            <w:vAlign w:val="center"/>
          </w:tcPr>
          <w:p>
            <w:pPr>
              <w:pStyle w:val="Normal"/>
              <w:bidi w:val="0"/>
              <w:jc w:val="left"/>
              <w:rPr/>
            </w:pPr>
            <w:r>
              <w:rPr/>
            </w:r>
          </w:p>
        </w:tc>
        <w:tc>
          <w:tcPr>
            <w:tcW w:w="466" w:type="dxa"/>
            <w:gridSpan w:val="3"/>
            <w:vMerge w:val="continue"/>
            <w:tcBorders/>
            <w:tcMar>
              <w:top w:w="0" w:type="dxa"/>
              <w:left w:w="0" w:type="dxa"/>
              <w:bottom w:w="0" w:type="dxa"/>
              <w:right w:w="0" w:type="dxa"/>
            </w:tcMar>
            <w:vAlign w:val="center"/>
          </w:tcPr>
          <w:p>
            <w:pPr>
              <w:pStyle w:val="Normal"/>
              <w:bidi w:val="0"/>
              <w:jc w:val="left"/>
              <w:rPr/>
            </w:pPr>
            <w:r>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1276" w:type="dxa"/>
            <w:gridSpan w:val="3"/>
            <w:vMerge w:val="continue"/>
            <w:tcBorders/>
            <w:tcMar>
              <w:top w:w="0" w:type="dxa"/>
              <w:left w:w="0" w:type="dxa"/>
              <w:bottom w:w="0" w:type="dxa"/>
              <w:right w:w="0" w:type="dxa"/>
            </w:tcMar>
            <w:vAlign w:val="center"/>
          </w:tcPr>
          <w:p>
            <w:pPr>
              <w:pStyle w:val="Normal"/>
              <w:bidi w:val="0"/>
              <w:jc w:val="left"/>
              <w:rPr/>
            </w:pPr>
            <w:r>
              <w:rPr/>
            </w:r>
          </w:p>
        </w:tc>
        <w:tc>
          <w:tcPr>
            <w:tcW w:w="1154" w:type="dxa"/>
            <w:gridSpan w:val="3"/>
            <w:vMerge w:val="continue"/>
            <w:tcBorders/>
            <w:tcMar>
              <w:top w:w="0" w:type="dxa"/>
              <w:left w:w="0" w:type="dxa"/>
              <w:bottom w:w="0" w:type="dxa"/>
              <w:right w:w="0" w:type="dxa"/>
            </w:tcMar>
            <w:vAlign w:val="center"/>
          </w:tcPr>
          <w:p>
            <w:pPr>
              <w:pStyle w:val="Normal"/>
              <w:bidi w:val="0"/>
              <w:jc w:val="left"/>
              <w:rPr/>
            </w:pPr>
            <w:r>
              <w:rPr/>
            </w:r>
          </w:p>
        </w:tc>
        <w:tc>
          <w:tcPr>
            <w:tcW w:w="348"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6"/>
              </w:rPr>
            </w:pPr>
            <w:r>
              <w:rPr>
                <w:rFonts w:ascii="Lato Bold;sans-serif" w:hAnsi="Lato Bold;sans-serif"/>
                <w:b/>
                <w:color w:val="000000"/>
                <w:sz w:val="16"/>
              </w:rPr>
              <w:t>A</w:t>
            </w:r>
          </w:p>
        </w:tc>
        <w:tc>
          <w:tcPr>
            <w:tcW w:w="52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6"/>
              </w:rPr>
            </w:pPr>
            <w:r>
              <w:rPr>
                <w:rFonts w:ascii="Lato Bold;sans-serif" w:hAnsi="Lato Bold;sans-serif"/>
                <w:b/>
                <w:color w:val="000000"/>
                <w:sz w:val="16"/>
              </w:rPr>
              <w:t>MDC</w:t>
            </w:r>
          </w:p>
        </w:tc>
        <w:tc>
          <w:tcPr>
            <w:tcW w:w="49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6"/>
              </w:rPr>
            </w:pPr>
            <w:r>
              <w:rPr>
                <w:rFonts w:ascii="Lato Bold;sans-serif" w:hAnsi="Lato Bold;sans-serif"/>
                <w:b/>
                <w:color w:val="000000"/>
                <w:sz w:val="16"/>
              </w:rPr>
              <w:t>NCG</w:t>
            </w:r>
          </w:p>
        </w:tc>
        <w:tc>
          <w:tcPr>
            <w:tcW w:w="412"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6"/>
              </w:rPr>
            </w:pPr>
            <w:r>
              <w:rPr>
                <w:rFonts w:ascii="Lato Bold;sans-serif" w:hAnsi="Lato Bold;sans-serif"/>
                <w:b/>
                <w:color w:val="000000"/>
                <w:sz w:val="16"/>
              </w:rPr>
              <w:t>E</w:t>
            </w:r>
          </w:p>
        </w:tc>
      </w:tr>
      <w:tr>
        <w:trPr/>
        <w:tc>
          <w:tcPr>
            <w:tcW w:w="1202"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14325" cy="314325"/>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314325" cy="314325"/>
                          </a:xfrm>
                          <a:prstGeom prst="rect">
                            <a:avLst/>
                          </a:prstGeom>
                        </pic:spPr>
                      </pic:pic>
                    </a:graphicData>
                  </a:graphic>
                </wp:inline>
              </w:drawing>
            </w:r>
            <w:r>
              <w:rPr>
                <w:color w:val="FF0090"/>
              </w:rPr>
              <w:t> </w:t>
            </w:r>
          </w:p>
        </w:tc>
        <w:tc>
          <w:tcPr>
            <w:tcW w:w="346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64" w:before="0" w:after="0"/>
              <w:jc w:val="left"/>
              <w:rPr>
                <w:rFonts w:ascii="Lato Bold;sans-serif" w:hAnsi="Lato Bold;sans-serif"/>
                <w:b/>
                <w:color w:val="0046C8"/>
                <w:sz w:val="17"/>
              </w:rPr>
            </w:pPr>
            <w:r>
              <w:rPr>
                <w:rFonts w:ascii="Lato Bold;sans-serif" w:hAnsi="Lato Bold;sans-serif"/>
                <w:b/>
                <w:color w:val="0046C8"/>
                <w:sz w:val="17"/>
              </w:rPr>
              <w:t>Michael D. Hsu</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Chairman of the Board and CEO</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Kimberly-Clark Corporation</w:t>
            </w:r>
          </w:p>
        </w:tc>
        <w:tc>
          <w:tcPr>
            <w:tcW w:w="466" w:type="dxa"/>
            <w:gridSpan w:val="3"/>
            <w:tcBorders>
              <w:top w:val="single" w:sz="8" w:space="0" w:color="0046C8"/>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60</w:t>
            </w:r>
          </w:p>
        </w:tc>
        <w:tc>
          <w:tcPr>
            <w:tcW w:w="85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2017</w:t>
            </w:r>
          </w:p>
        </w:tc>
        <w:tc>
          <w:tcPr>
            <w:tcW w:w="1276" w:type="dxa"/>
            <w:gridSpan w:val="3"/>
            <w:tcBorders>
              <w:top w:val="single" w:sz="8" w:space="0" w:color="0046C8"/>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1</w:t>
            </w:r>
          </w:p>
        </w:tc>
        <w:tc>
          <w:tcPr>
            <w:tcW w:w="348" w:type="dxa"/>
            <w:gridSpan w:val="3"/>
            <w:tcBorders>
              <w:top w:val="single" w:sz="8" w:space="0" w:color="0046C8"/>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46C8"/>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0"/>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r>
      <w:tr>
        <w:trPr/>
        <w:tc>
          <w:tcPr>
            <w:tcW w:w="120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14325" cy="314325"/>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314325" cy="314325"/>
                          </a:xfrm>
                          <a:prstGeom prst="rect">
                            <a:avLst/>
                          </a:prstGeom>
                        </pic:spPr>
                      </pic:pic>
                    </a:graphicData>
                  </a:graphic>
                </wp:inline>
              </w:drawing>
            </w:r>
            <w:r>
              <w:rPr>
                <w:color w:val="FF0090"/>
              </w:rPr>
              <w:t> </w:t>
            </w:r>
          </w:p>
        </w:tc>
        <w:tc>
          <w:tcPr>
            <w:tcW w:w="34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64" w:before="0" w:after="0"/>
              <w:jc w:val="left"/>
              <w:rPr>
                <w:rFonts w:ascii="Lato Bold;sans-serif" w:hAnsi="Lato Bold;sans-serif"/>
                <w:b/>
                <w:color w:val="0046C8"/>
                <w:sz w:val="17"/>
              </w:rPr>
            </w:pPr>
            <w:r>
              <w:rPr>
                <w:rFonts w:ascii="Lato Bold;sans-serif" w:hAnsi="Lato Bold;sans-serif"/>
                <w:b/>
                <w:color w:val="0046C8"/>
                <w:sz w:val="17"/>
              </w:rPr>
              <w:t>Sylvia M. Burwell</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Former President</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American University</w:t>
            </w:r>
          </w:p>
        </w:tc>
        <w:tc>
          <w:tcPr>
            <w:tcW w:w="46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59</w:t>
            </w:r>
          </w:p>
        </w:tc>
        <w:tc>
          <w:tcPr>
            <w:tcW w:w="8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2022</w:t>
            </w:r>
          </w:p>
        </w:tc>
        <w:tc>
          <w:tcPr>
            <w:tcW w:w="127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0046C8"/>
                <w:sz w:val="16"/>
              </w:rPr>
            </w:pPr>
            <w:r>
              <w:rPr>
                <w:rFonts w:ascii="Wingdings;sans-serif" w:hAnsi="Wingdings;sans-serif"/>
                <w:b w:val="false"/>
                <w:color w:val="0046C8"/>
                <w:sz w:val="16"/>
              </w:rPr>
              <w:t>l</w:t>
            </w:r>
          </w:p>
        </w:tc>
        <w:tc>
          <w:tcPr>
            <w:tcW w:w="11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0</w:t>
            </w:r>
          </w:p>
        </w:tc>
        <w:tc>
          <w:tcPr>
            <w:tcW w:w="348"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0"/>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c>
          <w:tcPr>
            <w:tcW w:w="52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14325" cy="314325"/>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19"/>
                          <a:stretch>
                            <a:fillRect/>
                          </a:stretch>
                        </pic:blipFill>
                        <pic:spPr bwMode="auto">
                          <a:xfrm>
                            <a:off x="0" y="0"/>
                            <a:ext cx="314325" cy="314325"/>
                          </a:xfrm>
                          <a:prstGeom prst="rect">
                            <a:avLst/>
                          </a:prstGeom>
                        </pic:spPr>
                      </pic:pic>
                    </a:graphicData>
                  </a:graphic>
                </wp:inline>
              </w:drawing>
            </w:r>
            <w:r>
              <w:rPr>
                <w:color w:val="FF0090"/>
              </w:rPr>
              <w:t> </w:t>
            </w:r>
          </w:p>
        </w:tc>
        <w:tc>
          <w:tcPr>
            <w:tcW w:w="34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64" w:before="0" w:after="0"/>
              <w:jc w:val="left"/>
              <w:rPr>
                <w:rFonts w:ascii="Lato Bold;sans-serif" w:hAnsi="Lato Bold;sans-serif"/>
                <w:b/>
                <w:color w:val="0046C8"/>
                <w:sz w:val="17"/>
              </w:rPr>
            </w:pPr>
            <w:r>
              <w:rPr>
                <w:rFonts w:ascii="Lato Bold;sans-serif" w:hAnsi="Lato Bold;sans-serif"/>
                <w:b/>
                <w:color w:val="0046C8"/>
                <w:sz w:val="17"/>
              </w:rPr>
              <w:t>John W. Culver</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Former Group President North America and COO</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Starbucks Corporation</w:t>
            </w:r>
          </w:p>
        </w:tc>
        <w:tc>
          <w:tcPr>
            <w:tcW w:w="46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64</w:t>
            </w:r>
          </w:p>
        </w:tc>
        <w:tc>
          <w:tcPr>
            <w:tcW w:w="8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2020</w:t>
            </w:r>
          </w:p>
        </w:tc>
        <w:tc>
          <w:tcPr>
            <w:tcW w:w="127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0"/>
              <w:jc w:val="center"/>
              <w:rPr>
                <w:rFonts w:ascii="Wingdings;sans-serif" w:hAnsi="Wingdings;sans-serif"/>
                <w:b w:val="false"/>
                <w:color w:val="0046C8"/>
                <w:sz w:val="16"/>
              </w:rPr>
            </w:pPr>
            <w:r>
              <w:rPr>
                <w:rFonts w:ascii="Wingdings;sans-serif" w:hAnsi="Wingdings;sans-serif"/>
                <w:b w:val="false"/>
                <w:color w:val="0046C8"/>
                <w:sz w:val="16"/>
              </w:rPr>
              <w:t>l</w:t>
            </w:r>
          </w:p>
        </w:tc>
        <w:tc>
          <w:tcPr>
            <w:tcW w:w="11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1</w:t>
            </w:r>
          </w:p>
        </w:tc>
        <w:tc>
          <w:tcPr>
            <w:tcW w:w="348"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center"/>
              <w:rPr>
                <w:rFonts w:ascii="Gilroy Regular;sans-serif" w:hAnsi="Gilroy Regular;sans-serif"/>
                <w:b w:val="false"/>
                <w:color w:val="000000"/>
                <w:sz w:val="17"/>
              </w:rPr>
            </w:pPr>
            <w:r>
              <w:rPr>
                <w:rFonts w:ascii="Gilroy Regular;sans-serif" w:hAnsi="Gilroy Regular;sans-serif"/>
                <w:b w:val="false"/>
                <w:color w:val="000000"/>
                <w:sz w:val="17"/>
              </w:rPr>
              <w:t>C</w:t>
            </w:r>
          </w:p>
        </w:tc>
        <w:tc>
          <w:tcPr>
            <w:tcW w:w="49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r>
      <w:tr>
        <w:trPr/>
        <w:tc>
          <w:tcPr>
            <w:tcW w:w="120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95275" cy="295275"/>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0"/>
                          <a:stretch>
                            <a:fillRect/>
                          </a:stretch>
                        </pic:blipFill>
                        <pic:spPr bwMode="auto">
                          <a:xfrm>
                            <a:off x="0" y="0"/>
                            <a:ext cx="295275" cy="295275"/>
                          </a:xfrm>
                          <a:prstGeom prst="rect">
                            <a:avLst/>
                          </a:prstGeom>
                        </pic:spPr>
                      </pic:pic>
                    </a:graphicData>
                  </a:graphic>
                </wp:inline>
              </w:drawing>
            </w:r>
            <w:r>
              <w:rPr>
                <w:color w:val="FF0090"/>
              </w:rPr>
              <w:t> </w:t>
            </w:r>
          </w:p>
        </w:tc>
        <w:tc>
          <w:tcPr>
            <w:tcW w:w="34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64" w:before="0" w:after="0"/>
              <w:jc w:val="left"/>
              <w:rPr>
                <w:rFonts w:ascii="Lato Bold;sans-serif" w:hAnsi="Lato Bold;sans-serif"/>
                <w:b/>
                <w:color w:val="0046C8"/>
                <w:sz w:val="17"/>
              </w:rPr>
            </w:pPr>
            <w:r>
              <w:rPr>
                <w:rFonts w:ascii="Lato Bold;sans-serif" w:hAnsi="Lato Bold;sans-serif"/>
                <w:b/>
                <w:color w:val="0046C8"/>
                <w:sz w:val="17"/>
              </w:rPr>
              <w:t>Mae C. Jemison, M.D.</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President</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The Jemison Group</w:t>
            </w:r>
          </w:p>
        </w:tc>
        <w:tc>
          <w:tcPr>
            <w:tcW w:w="46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68</w:t>
            </w:r>
          </w:p>
        </w:tc>
        <w:tc>
          <w:tcPr>
            <w:tcW w:w="8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2002</w:t>
            </w:r>
          </w:p>
        </w:tc>
        <w:tc>
          <w:tcPr>
            <w:tcW w:w="127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6"/>
              </w:rPr>
            </w:pPr>
            <w:r>
              <w:rPr>
                <w:rFonts w:ascii="Wingdings;sans-serif" w:hAnsi="Wingdings;sans-serif"/>
                <w:b w:val="false"/>
                <w:color w:val="0046C8"/>
                <w:sz w:val="16"/>
              </w:rPr>
              <w:t>l</w:t>
            </w:r>
          </w:p>
        </w:tc>
        <w:tc>
          <w:tcPr>
            <w:tcW w:w="11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0</w:t>
            </w:r>
          </w:p>
        </w:tc>
        <w:tc>
          <w:tcPr>
            <w:tcW w:w="348"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c>
          <w:tcPr>
            <w:tcW w:w="49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c>
          <w:tcPr>
            <w:tcW w:w="41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14325" cy="314325"/>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1"/>
                          <a:stretch>
                            <a:fillRect/>
                          </a:stretch>
                        </pic:blipFill>
                        <pic:spPr bwMode="auto">
                          <a:xfrm>
                            <a:off x="0" y="0"/>
                            <a:ext cx="314325" cy="314325"/>
                          </a:xfrm>
                          <a:prstGeom prst="rect">
                            <a:avLst/>
                          </a:prstGeom>
                        </pic:spPr>
                      </pic:pic>
                    </a:graphicData>
                  </a:graphic>
                </wp:inline>
              </w:drawing>
            </w:r>
            <w:r>
              <w:rPr>
                <w:color w:val="FF0090"/>
              </w:rPr>
              <w:t> </w:t>
            </w:r>
          </w:p>
        </w:tc>
        <w:tc>
          <w:tcPr>
            <w:tcW w:w="34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64" w:before="0" w:after="0"/>
              <w:jc w:val="left"/>
              <w:rPr>
                <w:rFonts w:ascii="Lato Bold;sans-serif" w:hAnsi="Lato Bold;sans-serif"/>
                <w:b/>
                <w:color w:val="0046C8"/>
                <w:sz w:val="17"/>
              </w:rPr>
            </w:pPr>
            <w:r>
              <w:rPr>
                <w:rFonts w:ascii="Lato Bold;sans-serif" w:hAnsi="Lato Bold;sans-serif"/>
                <w:b/>
                <w:color w:val="0046C8"/>
                <w:sz w:val="17"/>
              </w:rPr>
              <w:t>Deeptha Khanna</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EVP and Chief Business Leader, Personal Health</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Royal Philips</w:t>
            </w:r>
          </w:p>
        </w:tc>
        <w:tc>
          <w:tcPr>
            <w:tcW w:w="46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49</w:t>
            </w:r>
          </w:p>
        </w:tc>
        <w:tc>
          <w:tcPr>
            <w:tcW w:w="8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2023</w:t>
            </w:r>
          </w:p>
        </w:tc>
        <w:tc>
          <w:tcPr>
            <w:tcW w:w="127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6"/>
              </w:rPr>
            </w:pPr>
            <w:r>
              <w:rPr>
                <w:rFonts w:ascii="Wingdings;sans-serif" w:hAnsi="Wingdings;sans-serif"/>
                <w:b w:val="false"/>
                <w:color w:val="0046C8"/>
                <w:sz w:val="16"/>
              </w:rPr>
              <w:t>l</w:t>
            </w:r>
          </w:p>
        </w:tc>
        <w:tc>
          <w:tcPr>
            <w:tcW w:w="11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0</w:t>
            </w:r>
          </w:p>
        </w:tc>
        <w:tc>
          <w:tcPr>
            <w:tcW w:w="348"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c>
          <w:tcPr>
            <w:tcW w:w="52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14325" cy="314325"/>
                  <wp:effectExtent l="0" t="0" r="0" b="0"/>
                  <wp:docPr id="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 descr=""/>
                          <pic:cNvPicPr>
                            <a:picLocks noChangeAspect="1" noChangeArrowheads="1"/>
                          </pic:cNvPicPr>
                        </pic:nvPicPr>
                        <pic:blipFill>
                          <a:blip r:embed="rId22"/>
                          <a:stretch>
                            <a:fillRect/>
                          </a:stretch>
                        </pic:blipFill>
                        <pic:spPr bwMode="auto">
                          <a:xfrm>
                            <a:off x="0" y="0"/>
                            <a:ext cx="314325" cy="314325"/>
                          </a:xfrm>
                          <a:prstGeom prst="rect">
                            <a:avLst/>
                          </a:prstGeom>
                        </pic:spPr>
                      </pic:pic>
                    </a:graphicData>
                  </a:graphic>
                </wp:inline>
              </w:drawing>
            </w:r>
            <w:r>
              <w:rPr>
                <w:color w:val="FF0090"/>
              </w:rPr>
              <w:t> </w:t>
            </w:r>
          </w:p>
        </w:tc>
        <w:tc>
          <w:tcPr>
            <w:tcW w:w="34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64" w:before="0" w:after="0"/>
              <w:jc w:val="left"/>
              <w:rPr>
                <w:rFonts w:ascii="Lato Bold;sans-serif" w:hAnsi="Lato Bold;sans-serif"/>
                <w:b/>
                <w:color w:val="0046C8"/>
                <w:sz w:val="17"/>
              </w:rPr>
            </w:pPr>
            <w:r>
              <w:rPr>
                <w:rFonts w:ascii="Lato Bold;sans-serif" w:hAnsi="Lato Bold;sans-serif"/>
                <w:b/>
                <w:color w:val="0046C8"/>
                <w:sz w:val="17"/>
              </w:rPr>
              <w:t>S. Todd Maclin</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Retired Chairman, Chase Commercial and Consumer Banking</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JPMorgan Chase &amp; Co.</w:t>
            </w:r>
          </w:p>
        </w:tc>
        <w:tc>
          <w:tcPr>
            <w:tcW w:w="46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68</w:t>
            </w:r>
          </w:p>
        </w:tc>
        <w:tc>
          <w:tcPr>
            <w:tcW w:w="8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2019</w:t>
            </w:r>
          </w:p>
        </w:tc>
        <w:tc>
          <w:tcPr>
            <w:tcW w:w="127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6"/>
              </w:rPr>
            </w:pPr>
            <w:r>
              <w:rPr>
                <w:rFonts w:ascii="Wingdings;sans-serif" w:hAnsi="Wingdings;sans-serif"/>
                <w:b w:val="false"/>
                <w:color w:val="0046C8"/>
                <w:sz w:val="16"/>
              </w:rPr>
              <w:t>l</w:t>
            </w:r>
          </w:p>
        </w:tc>
        <w:tc>
          <w:tcPr>
            <w:tcW w:w="11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1</w:t>
            </w:r>
          </w:p>
        </w:tc>
        <w:tc>
          <w:tcPr>
            <w:tcW w:w="348"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c>
          <w:tcPr>
            <w:tcW w:w="49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c>
          <w:tcPr>
            <w:tcW w:w="41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14325" cy="314325"/>
                  <wp:effectExtent l="0" t="0" r="0" b="0"/>
                  <wp:docPr id="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2" descr=""/>
                          <pic:cNvPicPr>
                            <a:picLocks noChangeAspect="1" noChangeArrowheads="1"/>
                          </pic:cNvPicPr>
                        </pic:nvPicPr>
                        <pic:blipFill>
                          <a:blip r:embed="rId23"/>
                          <a:stretch>
                            <a:fillRect/>
                          </a:stretch>
                        </pic:blipFill>
                        <pic:spPr bwMode="auto">
                          <a:xfrm>
                            <a:off x="0" y="0"/>
                            <a:ext cx="314325" cy="314325"/>
                          </a:xfrm>
                          <a:prstGeom prst="rect">
                            <a:avLst/>
                          </a:prstGeom>
                        </pic:spPr>
                      </pic:pic>
                    </a:graphicData>
                  </a:graphic>
                </wp:inline>
              </w:drawing>
            </w:r>
            <w:r>
              <w:rPr>
                <w:color w:val="FF0090"/>
              </w:rPr>
              <w:t> </w:t>
            </w:r>
          </w:p>
        </w:tc>
        <w:tc>
          <w:tcPr>
            <w:tcW w:w="34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64" w:before="0" w:after="0"/>
              <w:jc w:val="left"/>
              <w:rPr>
                <w:rFonts w:ascii="Lato Bold;sans-serif" w:hAnsi="Lato Bold;sans-serif"/>
                <w:b/>
                <w:color w:val="0046C8"/>
                <w:sz w:val="17"/>
              </w:rPr>
            </w:pPr>
            <w:r>
              <w:rPr>
                <w:rFonts w:ascii="Lato Bold;sans-serif" w:hAnsi="Lato Bold;sans-serif"/>
                <w:b/>
                <w:color w:val="0046C8"/>
                <w:sz w:val="17"/>
              </w:rPr>
              <w:t>Deirdre A. Mahlan</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Former President, CEO and Chairperson</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The Duckhorn Portfolio, Inc.</w:t>
            </w:r>
          </w:p>
        </w:tc>
        <w:tc>
          <w:tcPr>
            <w:tcW w:w="46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62</w:t>
            </w:r>
          </w:p>
        </w:tc>
        <w:tc>
          <w:tcPr>
            <w:tcW w:w="8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2021</w:t>
            </w:r>
          </w:p>
        </w:tc>
        <w:tc>
          <w:tcPr>
            <w:tcW w:w="127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6"/>
              </w:rPr>
            </w:pPr>
            <w:r>
              <w:rPr>
                <w:rFonts w:ascii="Wingdings;sans-serif" w:hAnsi="Wingdings;sans-serif"/>
                <w:b w:val="false"/>
                <w:color w:val="0046C8"/>
                <w:sz w:val="16"/>
              </w:rPr>
              <w:t>l</w:t>
            </w:r>
          </w:p>
        </w:tc>
        <w:tc>
          <w:tcPr>
            <w:tcW w:w="11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0</w:t>
            </w:r>
          </w:p>
        </w:tc>
        <w:tc>
          <w:tcPr>
            <w:tcW w:w="348"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c>
          <w:tcPr>
            <w:tcW w:w="52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14325" cy="314325"/>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4"/>
                          <a:stretch>
                            <a:fillRect/>
                          </a:stretch>
                        </pic:blipFill>
                        <pic:spPr bwMode="auto">
                          <a:xfrm>
                            <a:off x="0" y="0"/>
                            <a:ext cx="314325" cy="314325"/>
                          </a:xfrm>
                          <a:prstGeom prst="rect">
                            <a:avLst/>
                          </a:prstGeom>
                        </pic:spPr>
                      </pic:pic>
                    </a:graphicData>
                  </a:graphic>
                </wp:inline>
              </w:drawing>
            </w:r>
            <w:r>
              <w:rPr>
                <w:color w:val="FF0090"/>
              </w:rPr>
              <w:t> </w:t>
            </w:r>
          </w:p>
        </w:tc>
        <w:tc>
          <w:tcPr>
            <w:tcW w:w="34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64" w:before="0" w:after="0"/>
              <w:jc w:val="left"/>
              <w:rPr>
                <w:rFonts w:ascii="Lato Bold;sans-serif" w:hAnsi="Lato Bold;sans-serif"/>
                <w:b/>
                <w:color w:val="0046C8"/>
                <w:sz w:val="17"/>
              </w:rPr>
            </w:pPr>
            <w:r>
              <w:rPr>
                <w:rFonts w:ascii="Lato Bold;sans-serif" w:hAnsi="Lato Bold;sans-serif"/>
                <w:b/>
                <w:color w:val="0046C8"/>
                <w:sz w:val="17"/>
              </w:rPr>
              <w:t>Sherilyn S. McCoy</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Former CEO</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Avon Products, Inc.</w:t>
            </w:r>
          </w:p>
        </w:tc>
        <w:tc>
          <w:tcPr>
            <w:tcW w:w="46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66</w:t>
            </w:r>
          </w:p>
        </w:tc>
        <w:tc>
          <w:tcPr>
            <w:tcW w:w="8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2018</w:t>
            </w:r>
          </w:p>
        </w:tc>
        <w:tc>
          <w:tcPr>
            <w:tcW w:w="127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6"/>
              </w:rPr>
            </w:pPr>
            <w:r>
              <w:rPr>
                <w:rFonts w:ascii="Wingdings;sans-serif" w:hAnsi="Wingdings;sans-serif"/>
                <w:b w:val="false"/>
                <w:color w:val="0046C8"/>
                <w:sz w:val="16"/>
              </w:rPr>
              <w:t>l</w:t>
            </w:r>
          </w:p>
        </w:tc>
        <w:tc>
          <w:tcPr>
            <w:tcW w:w="11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2</w:t>
            </w:r>
          </w:p>
        </w:tc>
        <w:tc>
          <w:tcPr>
            <w:tcW w:w="348"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C</w:t>
            </w:r>
          </w:p>
        </w:tc>
      </w:tr>
      <w:tr>
        <w:trPr/>
        <w:tc>
          <w:tcPr>
            <w:tcW w:w="120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14325" cy="314325"/>
                  <wp:effectExtent l="0" t="0" r="0" b="0"/>
                  <wp:docPr id="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 descr=""/>
                          <pic:cNvPicPr>
                            <a:picLocks noChangeAspect="1" noChangeArrowheads="1"/>
                          </pic:cNvPicPr>
                        </pic:nvPicPr>
                        <pic:blipFill>
                          <a:blip r:embed="rId25"/>
                          <a:stretch>
                            <a:fillRect/>
                          </a:stretch>
                        </pic:blipFill>
                        <pic:spPr bwMode="auto">
                          <a:xfrm>
                            <a:off x="0" y="0"/>
                            <a:ext cx="314325" cy="314325"/>
                          </a:xfrm>
                          <a:prstGeom prst="rect">
                            <a:avLst/>
                          </a:prstGeom>
                        </pic:spPr>
                      </pic:pic>
                    </a:graphicData>
                  </a:graphic>
                </wp:inline>
              </w:drawing>
            </w:r>
            <w:r>
              <w:rPr>
                <w:color w:val="FF0090"/>
              </w:rPr>
              <w:t> </w:t>
            </w:r>
          </w:p>
        </w:tc>
        <w:tc>
          <w:tcPr>
            <w:tcW w:w="34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64" w:before="0" w:after="0"/>
              <w:jc w:val="left"/>
              <w:rPr>
                <w:rFonts w:ascii="Lato Bold;sans-serif" w:hAnsi="Lato Bold;sans-serif"/>
                <w:b/>
                <w:color w:val="0046C8"/>
                <w:sz w:val="17"/>
              </w:rPr>
            </w:pPr>
            <w:r>
              <w:rPr>
                <w:rFonts w:ascii="Lato Bold;sans-serif" w:hAnsi="Lato Bold;sans-serif"/>
                <w:b/>
                <w:color w:val="0046C8"/>
                <w:sz w:val="17"/>
              </w:rPr>
              <w:t>Christa S. Quarles</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CEO</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Alludo</w:t>
            </w:r>
          </w:p>
        </w:tc>
        <w:tc>
          <w:tcPr>
            <w:tcW w:w="46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51</w:t>
            </w:r>
          </w:p>
        </w:tc>
        <w:tc>
          <w:tcPr>
            <w:tcW w:w="8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2016</w:t>
            </w:r>
          </w:p>
        </w:tc>
        <w:tc>
          <w:tcPr>
            <w:tcW w:w="127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6"/>
              </w:rPr>
            </w:pPr>
            <w:r>
              <w:rPr>
                <w:rFonts w:ascii="Wingdings;sans-serif" w:hAnsi="Wingdings;sans-serif"/>
                <w:b w:val="false"/>
                <w:color w:val="0046C8"/>
                <w:sz w:val="16"/>
              </w:rPr>
              <w:t>l</w:t>
            </w:r>
          </w:p>
        </w:tc>
        <w:tc>
          <w:tcPr>
            <w:tcW w:w="11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1</w:t>
            </w:r>
          </w:p>
        </w:tc>
        <w:tc>
          <w:tcPr>
            <w:tcW w:w="348"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c>
          <w:tcPr>
            <w:tcW w:w="49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c>
          <w:tcPr>
            <w:tcW w:w="41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14325" cy="314325"/>
                  <wp:effectExtent l="0" t="0" r="0" b="0"/>
                  <wp:docPr id="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5" descr=""/>
                          <pic:cNvPicPr>
                            <a:picLocks noChangeAspect="1" noChangeArrowheads="1"/>
                          </pic:cNvPicPr>
                        </pic:nvPicPr>
                        <pic:blipFill>
                          <a:blip r:embed="rId26"/>
                          <a:stretch>
                            <a:fillRect/>
                          </a:stretch>
                        </pic:blipFill>
                        <pic:spPr bwMode="auto">
                          <a:xfrm>
                            <a:off x="0" y="0"/>
                            <a:ext cx="314325" cy="314325"/>
                          </a:xfrm>
                          <a:prstGeom prst="rect">
                            <a:avLst/>
                          </a:prstGeom>
                        </pic:spPr>
                      </pic:pic>
                    </a:graphicData>
                  </a:graphic>
                </wp:inline>
              </w:drawing>
            </w:r>
            <w:r>
              <w:rPr>
                <w:color w:val="FF0090"/>
              </w:rPr>
              <w:t> </w:t>
            </w:r>
          </w:p>
        </w:tc>
        <w:tc>
          <w:tcPr>
            <w:tcW w:w="34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0046C8"/>
                <w:sz w:val="17"/>
              </w:rPr>
            </w:pPr>
            <w:r>
              <w:rPr>
                <w:rFonts w:ascii="Lato Bold;sans-serif" w:hAnsi="Lato Bold;sans-serif"/>
                <w:b/>
                <w:color w:val="0046C8"/>
                <w:sz w:val="17"/>
              </w:rPr>
              <w:t>Jaime A. Ramirez</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Chief Executive Officer</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Fluidra</w:t>
            </w:r>
          </w:p>
        </w:tc>
        <w:tc>
          <w:tcPr>
            <w:tcW w:w="46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58</w:t>
            </w:r>
          </w:p>
        </w:tc>
        <w:tc>
          <w:tcPr>
            <w:tcW w:w="8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2021</w:t>
            </w:r>
          </w:p>
        </w:tc>
        <w:tc>
          <w:tcPr>
            <w:tcW w:w="127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6"/>
              </w:rPr>
            </w:pPr>
            <w:r>
              <w:rPr>
                <w:rFonts w:ascii="Wingdings;sans-serif" w:hAnsi="Wingdings;sans-serif"/>
                <w:b w:val="false"/>
                <w:color w:val="0046C8"/>
                <w:sz w:val="16"/>
              </w:rPr>
              <w:t>l</w:t>
            </w:r>
          </w:p>
        </w:tc>
        <w:tc>
          <w:tcPr>
            <w:tcW w:w="11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0</w:t>
            </w:r>
          </w:p>
        </w:tc>
        <w:tc>
          <w:tcPr>
            <w:tcW w:w="348"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c>
          <w:tcPr>
            <w:tcW w:w="52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top w:val="single" w:sz="4" w:space="0" w:color="B3B3B3"/>
            </w:tcBorders>
            <w:tcMar>
              <w:left w:w="0" w:type="dxa"/>
              <w:bottom w:w="0" w:type="dxa"/>
              <w:right w:w="0" w:type="dxa"/>
            </w:tcMar>
            <w:vAlign w:val="center"/>
          </w:tcPr>
          <w:p>
            <w:pPr>
              <w:pStyle w:val="TableContents"/>
              <w:bidi w:val="0"/>
              <w:spacing w:before="0" w:after="0"/>
              <w:jc w:val="left"/>
              <w:rPr/>
            </w:pPr>
            <w:r>
              <w:rPr/>
              <w:drawing>
                <wp:inline distT="0" distB="0" distL="0" distR="0">
                  <wp:extent cx="314325" cy="314325"/>
                  <wp:effectExtent l="0" t="0" r="0" b="0"/>
                  <wp:docPr id="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 descr=""/>
                          <pic:cNvPicPr>
                            <a:picLocks noChangeAspect="1" noChangeArrowheads="1"/>
                          </pic:cNvPicPr>
                        </pic:nvPicPr>
                        <pic:blipFill>
                          <a:blip r:embed="rId27"/>
                          <a:stretch>
                            <a:fillRect/>
                          </a:stretch>
                        </pic:blipFill>
                        <pic:spPr bwMode="auto">
                          <a:xfrm>
                            <a:off x="0" y="0"/>
                            <a:ext cx="314325" cy="314325"/>
                          </a:xfrm>
                          <a:prstGeom prst="rect">
                            <a:avLst/>
                          </a:prstGeom>
                        </pic:spPr>
                      </pic:pic>
                    </a:graphicData>
                  </a:graphic>
                </wp:inline>
              </w:drawing>
            </w:r>
          </w:p>
        </w:tc>
        <w:tc>
          <w:tcPr>
            <w:tcW w:w="34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0046C8"/>
                <w:sz w:val="17"/>
              </w:rPr>
            </w:pPr>
            <w:r>
              <w:rPr>
                <w:rFonts w:ascii="Lato Bold;sans-serif" w:hAnsi="Lato Bold;sans-serif"/>
                <w:b/>
                <w:color w:val="0046C8"/>
                <w:sz w:val="17"/>
              </w:rPr>
              <w:t>Joseph Romanelli</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President, Human Health International</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Merck</w:t>
            </w:r>
          </w:p>
        </w:tc>
        <w:tc>
          <w:tcPr>
            <w:tcW w:w="46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51</w:t>
            </w:r>
          </w:p>
        </w:tc>
        <w:tc>
          <w:tcPr>
            <w:tcW w:w="8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2024</w:t>
            </w:r>
          </w:p>
        </w:tc>
        <w:tc>
          <w:tcPr>
            <w:tcW w:w="127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6"/>
              </w:rPr>
            </w:pPr>
            <w:r>
              <w:rPr>
                <w:rFonts w:ascii="Wingdings;sans-serif" w:hAnsi="Wingdings;sans-serif"/>
                <w:b w:val="false"/>
                <w:color w:val="0046C8"/>
                <w:sz w:val="16"/>
              </w:rPr>
              <w:t>l</w:t>
            </w:r>
          </w:p>
        </w:tc>
        <w:tc>
          <w:tcPr>
            <w:tcW w:w="11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0</w:t>
            </w:r>
          </w:p>
        </w:tc>
        <w:tc>
          <w:tcPr>
            <w:tcW w:w="348"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c>
          <w:tcPr>
            <w:tcW w:w="52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14325" cy="314325"/>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28"/>
                          <a:stretch>
                            <a:fillRect/>
                          </a:stretch>
                        </pic:blipFill>
                        <pic:spPr bwMode="auto">
                          <a:xfrm>
                            <a:off x="0" y="0"/>
                            <a:ext cx="314325" cy="314325"/>
                          </a:xfrm>
                          <a:prstGeom prst="rect">
                            <a:avLst/>
                          </a:prstGeom>
                        </pic:spPr>
                      </pic:pic>
                    </a:graphicData>
                  </a:graphic>
                </wp:inline>
              </w:drawing>
            </w:r>
            <w:r>
              <w:rPr>
                <w:color w:val="FF0090"/>
              </w:rPr>
              <w:t> </w:t>
            </w:r>
          </w:p>
        </w:tc>
        <w:tc>
          <w:tcPr>
            <w:tcW w:w="34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64" w:before="0" w:after="0"/>
              <w:jc w:val="left"/>
              <w:rPr>
                <w:rFonts w:ascii="Lato Bold;sans-serif" w:hAnsi="Lato Bold;sans-serif"/>
                <w:b/>
                <w:color w:val="0046C8"/>
                <w:sz w:val="17"/>
              </w:rPr>
            </w:pPr>
            <w:r>
              <w:rPr>
                <w:rFonts w:ascii="Lato Bold;sans-serif" w:hAnsi="Lato Bold;sans-serif"/>
                <w:b/>
                <w:color w:val="0046C8"/>
                <w:sz w:val="17"/>
              </w:rPr>
              <w:t>Dunia A. Shive</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Former CEO and President</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Belo Corp.</w:t>
            </w:r>
          </w:p>
        </w:tc>
        <w:tc>
          <w:tcPr>
            <w:tcW w:w="46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64</w:t>
            </w:r>
          </w:p>
        </w:tc>
        <w:tc>
          <w:tcPr>
            <w:tcW w:w="8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2019</w:t>
            </w:r>
          </w:p>
        </w:tc>
        <w:tc>
          <w:tcPr>
            <w:tcW w:w="127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6"/>
              </w:rPr>
            </w:pPr>
            <w:r>
              <w:rPr>
                <w:rFonts w:ascii="Wingdings;sans-serif" w:hAnsi="Wingdings;sans-serif"/>
                <w:b w:val="false"/>
                <w:color w:val="0046C8"/>
                <w:sz w:val="16"/>
              </w:rPr>
              <w:t>l</w:t>
            </w:r>
          </w:p>
        </w:tc>
        <w:tc>
          <w:tcPr>
            <w:tcW w:w="115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3</w:t>
            </w:r>
          </w:p>
        </w:tc>
        <w:tc>
          <w:tcPr>
            <w:tcW w:w="348"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C</w:t>
            </w:r>
          </w:p>
        </w:tc>
        <w:tc>
          <w:tcPr>
            <w:tcW w:w="52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r>
      <w:tr>
        <w:trPr/>
        <w:tc>
          <w:tcPr>
            <w:tcW w:w="1202"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0"/>
              <w:jc w:val="left"/>
              <w:rPr/>
            </w:pPr>
            <w:r>
              <w:rPr>
                <w:color w:val="FF0090"/>
              </w:rPr>
              <w:t> </w:t>
            </w:r>
            <w:r>
              <w:rPr/>
              <w:drawing>
                <wp:inline distT="0" distB="0" distL="0" distR="0">
                  <wp:extent cx="314325" cy="314325"/>
                  <wp:effectExtent l="0" t="0" r="0" b="0"/>
                  <wp:docPr id="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 descr=""/>
                          <pic:cNvPicPr>
                            <a:picLocks noChangeAspect="1" noChangeArrowheads="1"/>
                          </pic:cNvPicPr>
                        </pic:nvPicPr>
                        <pic:blipFill>
                          <a:blip r:embed="rId29"/>
                          <a:stretch>
                            <a:fillRect/>
                          </a:stretch>
                        </pic:blipFill>
                        <pic:spPr bwMode="auto">
                          <a:xfrm>
                            <a:off x="0" y="0"/>
                            <a:ext cx="314325" cy="314325"/>
                          </a:xfrm>
                          <a:prstGeom prst="rect">
                            <a:avLst/>
                          </a:prstGeom>
                        </pic:spPr>
                      </pic:pic>
                    </a:graphicData>
                  </a:graphic>
                </wp:inline>
              </w:drawing>
            </w:r>
          </w:p>
        </w:tc>
        <w:tc>
          <w:tcPr>
            <w:tcW w:w="346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64" w:before="0" w:after="0"/>
              <w:jc w:val="left"/>
              <w:rPr>
                <w:rFonts w:ascii="Lato Bold;sans-serif" w:hAnsi="Lato Bold;sans-serif"/>
                <w:b/>
                <w:color w:val="0046C8"/>
                <w:sz w:val="17"/>
              </w:rPr>
            </w:pPr>
            <w:r>
              <w:rPr>
                <w:rFonts w:ascii="Lato Bold;sans-serif" w:hAnsi="Lato Bold;sans-serif"/>
                <w:b/>
                <w:color w:val="0046C8"/>
                <w:sz w:val="17"/>
              </w:rPr>
              <w:t>Mark T. Smucker</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Chair of the Board, President, and CEO</w:t>
            </w:r>
          </w:p>
          <w:p>
            <w:pPr>
              <w:pStyle w:val="TableContents"/>
              <w:bidi w:val="0"/>
              <w:spacing w:lineRule="auto" w:line="264" w:before="0" w:after="0"/>
              <w:jc w:val="left"/>
              <w:rPr>
                <w:rFonts w:ascii="Lato;sans-serif" w:hAnsi="Lato;sans-serif"/>
                <w:b w:val="false"/>
                <w:color w:val="000000"/>
                <w:sz w:val="15"/>
              </w:rPr>
            </w:pPr>
            <w:r>
              <w:rPr>
                <w:rFonts w:ascii="Lato;sans-serif" w:hAnsi="Lato;sans-serif"/>
                <w:b w:val="false"/>
                <w:color w:val="000000"/>
                <w:sz w:val="15"/>
              </w:rPr>
              <w:t>The J.M. Smucker Company</w:t>
            </w:r>
          </w:p>
        </w:tc>
        <w:tc>
          <w:tcPr>
            <w:tcW w:w="466" w:type="dxa"/>
            <w:gridSpan w:val="3"/>
            <w:tcBorders>
              <w:top w:val="single" w:sz="4" w:space="0" w:color="B3B3B3"/>
              <w:bottom w:val="single" w:sz="8" w:space="0" w:color="0046C8"/>
            </w:tcBorders>
            <w:shd w:fill="CCDAF4" w:val="clear"/>
            <w:tcMar>
              <w:top w:w="30" w:type="dxa"/>
              <w:left w:w="0" w:type="dxa"/>
              <w:bottom w:w="3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55</w:t>
            </w:r>
          </w:p>
        </w:tc>
        <w:tc>
          <w:tcPr>
            <w:tcW w:w="856"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2019</w:t>
            </w:r>
          </w:p>
        </w:tc>
        <w:tc>
          <w:tcPr>
            <w:tcW w:w="1276" w:type="dxa"/>
            <w:gridSpan w:val="3"/>
            <w:tcBorders>
              <w:top w:val="single" w:sz="4" w:space="0" w:color="B3B3B3"/>
              <w:bottom w:val="single" w:sz="8" w:space="0" w:color="0046C8"/>
            </w:tcBorders>
            <w:shd w:fill="CCDAF4" w:val="clear"/>
            <w:tcMar>
              <w:top w:w="30" w:type="dxa"/>
              <w:left w:w="0" w:type="dxa"/>
              <w:bottom w:w="30" w:type="dxa"/>
              <w:right w:w="0" w:type="dxa"/>
            </w:tcMar>
            <w:vAlign w:val="center"/>
          </w:tcPr>
          <w:p>
            <w:pPr>
              <w:pStyle w:val="TableContents"/>
              <w:bidi w:val="0"/>
              <w:spacing w:lineRule="auto" w:line="312" w:before="0" w:after="283"/>
              <w:jc w:val="center"/>
              <w:rPr>
                <w:rFonts w:ascii="Wingdings;sans-serif" w:hAnsi="Wingdings;sans-serif"/>
                <w:b w:val="false"/>
                <w:color w:val="0046C8"/>
                <w:sz w:val="16"/>
              </w:rPr>
            </w:pPr>
            <w:r>
              <w:rPr>
                <w:rFonts w:ascii="Wingdings;sans-serif" w:hAnsi="Wingdings;sans-serif"/>
                <w:b w:val="false"/>
                <w:color w:val="0046C8"/>
                <w:sz w:val="16"/>
              </w:rPr>
              <w:t>l</w:t>
            </w:r>
          </w:p>
        </w:tc>
        <w:tc>
          <w:tcPr>
            <w:tcW w:w="1154"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1</w:t>
            </w:r>
          </w:p>
        </w:tc>
        <w:tc>
          <w:tcPr>
            <w:tcW w:w="348" w:type="dxa"/>
            <w:gridSpan w:val="3"/>
            <w:tcBorders>
              <w:top w:val="single" w:sz="4" w:space="0" w:color="B3B3B3"/>
              <w:bottom w:val="single" w:sz="8" w:space="0" w:color="0046C8"/>
            </w:tcBorders>
            <w:shd w:fill="CCDAF4"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B3B3B3"/>
              <w:bottom w:val="single" w:sz="8" w:space="0" w:color="0046C8"/>
            </w:tcBorders>
            <w:shd w:fill="CCDAF4" w:val="clear"/>
            <w:tcMar>
              <w:top w:w="30" w:type="dxa"/>
              <w:left w:w="0" w:type="dxa"/>
              <w:bottom w:w="3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C</w:t>
            </w:r>
          </w:p>
        </w:tc>
        <w:tc>
          <w:tcPr>
            <w:tcW w:w="412"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center"/>
              <w:rPr>
                <w:rFonts w:ascii="Gilroy Regular;sans-serif" w:hAnsi="Gilroy Regular;sans-serif"/>
                <w:b w:val="false"/>
                <w:color w:val="000000"/>
                <w:sz w:val="17"/>
              </w:rPr>
            </w:pPr>
            <w:r>
              <w:rPr>
                <w:rFonts w:ascii="Gilroy Regular;sans-serif" w:hAnsi="Gilroy Regular;sans-serif"/>
                <w:b w:val="false"/>
                <w:color w:val="000000"/>
                <w:sz w:val="17"/>
              </w:rPr>
              <w:t>M</w:t>
            </w:r>
          </w:p>
        </w:tc>
      </w:tr>
    </w:tbl>
    <w:tbl>
      <w:tblPr>
        <w:tblW w:w="10205" w:type="dxa"/>
        <w:jc w:val="left"/>
        <w:tblInd w:w="0" w:type="dxa"/>
        <w:tblLayout w:type="fixed"/>
        <w:tblCellMar>
          <w:top w:w="28" w:type="dxa"/>
          <w:left w:w="28" w:type="dxa"/>
          <w:bottom w:w="28" w:type="dxa"/>
          <w:right w:w="28" w:type="dxa"/>
        </w:tblCellMar>
      </w:tblPr>
      <w:tblGrid>
        <w:gridCol w:w="2825"/>
        <w:gridCol w:w="2483"/>
        <w:gridCol w:w="2492"/>
        <w:gridCol w:w="702"/>
        <w:gridCol w:w="702"/>
        <w:gridCol w:w="1001"/>
      </w:tblGrid>
      <w:tr>
        <w:trPr/>
        <w:tc>
          <w:tcPr>
            <w:tcW w:w="2825"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7800" w:type="dxa"/>
            <w:gridSpan w:val="3"/>
            <w:tcBorders/>
            <w:tcMar>
              <w:top w:w="0" w:type="dxa"/>
              <w:left w:w="0" w:type="dxa"/>
              <w:bottom w:w="0" w:type="dxa"/>
              <w:right w:w="0" w:type="dxa"/>
            </w:tcMar>
            <w:vAlign w:val="center"/>
          </w:tcPr>
          <w:p>
            <w:pPr>
              <w:pStyle w:val="TableContents"/>
              <w:bidi w:val="0"/>
              <w:spacing w:lineRule="auto" w:line="312" w:before="40" w:after="283"/>
              <w:jc w:val="left"/>
              <w:rPr/>
            </w:pPr>
            <w:r>
              <w:rPr>
                <w:rFonts w:ascii="Lato Bold;sans-serif" w:hAnsi="Lato Bold;sans-serif"/>
                <w:b/>
                <w:color w:val="0046C8"/>
                <w:sz w:val="16"/>
              </w:rPr>
              <w:t>*A</w:t>
            </w:r>
            <w:r>
              <w:rPr>
                <w:color w:val="7891A5"/>
              </w:rPr>
              <w:t xml:space="preserve"> </w:t>
            </w:r>
            <w:r>
              <w:rPr>
                <w:rFonts w:ascii="Lato;sans-serif" w:hAnsi="Lato;sans-serif"/>
                <w:b w:val="false"/>
                <w:color w:val="000000"/>
                <w:sz w:val="16"/>
              </w:rPr>
              <w:t>= Audit Committee;     </w:t>
            </w:r>
            <w:r>
              <w:rPr>
                <w:rFonts w:ascii="Lato Bold;sans-serif" w:hAnsi="Lato Bold;sans-serif"/>
                <w:b/>
                <w:color w:val="0046C8"/>
                <w:sz w:val="16"/>
              </w:rPr>
              <w:t>MDC</w:t>
            </w:r>
            <w:r>
              <w:rPr>
                <w:color w:val="000000"/>
              </w:rPr>
              <w:t xml:space="preserve"> </w:t>
            </w:r>
            <w:r>
              <w:rPr>
                <w:rFonts w:ascii="Lato;sans-serif" w:hAnsi="Lato;sans-serif"/>
                <w:b w:val="false"/>
                <w:color w:val="000000"/>
                <w:sz w:val="16"/>
              </w:rPr>
              <w:t>= Management Development and Compensation Committee;</w:t>
            </w:r>
          </w:p>
          <w:p>
            <w:pPr>
              <w:pStyle w:val="TableContents"/>
              <w:bidi w:val="0"/>
              <w:spacing w:lineRule="auto" w:line="312" w:before="0" w:after="80"/>
              <w:jc w:val="left"/>
              <w:rPr/>
            </w:pPr>
            <w:r>
              <w:rPr>
                <w:rFonts w:ascii="Lato Bold;sans-serif" w:hAnsi="Lato Bold;sans-serif"/>
                <w:b/>
                <w:color w:val="0046C8"/>
                <w:sz w:val="16"/>
              </w:rPr>
              <w:t xml:space="preserve">NCG </w:t>
            </w:r>
            <w:r>
              <w:rPr>
                <w:rFonts w:ascii="Lato;sans-serif" w:hAnsi="Lato;sans-serif"/>
                <w:b w:val="false"/>
                <w:color w:val="000000"/>
                <w:sz w:val="16"/>
              </w:rPr>
              <w:t>= Nominating and Corporate Governance Committee; </w:t>
            </w:r>
            <w:r>
              <w:rPr>
                <w:color w:val="0046C8"/>
              </w:rPr>
              <w:t>    </w:t>
            </w:r>
            <w:r>
              <w:rPr>
                <w:rFonts w:ascii="Lato Bold;sans-serif" w:hAnsi="Lato Bold;sans-serif"/>
                <w:b/>
                <w:color w:val="0046C8"/>
                <w:sz w:val="16"/>
              </w:rPr>
              <w:t>E</w:t>
            </w:r>
            <w:r>
              <w:rPr>
                <w:color w:val="000000"/>
              </w:rPr>
              <w:t xml:space="preserve"> </w:t>
            </w:r>
            <w:r>
              <w:rPr>
                <w:rFonts w:ascii="Lato;sans-serif" w:hAnsi="Lato;sans-serif"/>
                <w:b w:val="false"/>
                <w:color w:val="000000"/>
                <w:sz w:val="16"/>
              </w:rPr>
              <w:t>= Executive Committee.</w:t>
            </w:r>
          </w:p>
        </w:tc>
        <w:tc>
          <w:tcPr>
            <w:tcW w:w="2405" w:type="dxa"/>
            <w:gridSpan w:val="3"/>
            <w:tcBorders/>
            <w:tcMar>
              <w:top w:w="0" w:type="dxa"/>
              <w:left w:w="0" w:type="dxa"/>
              <w:bottom w:w="0" w:type="dxa"/>
              <w:right w:w="0" w:type="dxa"/>
            </w:tcMar>
            <w:vAlign w:val="center"/>
          </w:tcPr>
          <w:p>
            <w:pPr>
              <w:pStyle w:val="TableContents"/>
              <w:bidi w:val="0"/>
              <w:spacing w:lineRule="auto" w:line="264" w:before="40" w:after="283"/>
              <w:jc w:val="right"/>
              <w:rPr/>
            </w:pPr>
            <w:r>
              <w:rPr>
                <w:rFonts w:ascii="Lato Bold;sans-serif" w:hAnsi="Lato Bold;sans-serif"/>
                <w:b/>
                <w:color w:val="0046C8"/>
                <w:sz w:val="16"/>
              </w:rPr>
              <w:t>C</w:t>
            </w:r>
            <w:r>
              <w:rPr>
                <w:color w:val="000000"/>
              </w:rPr>
              <w:t xml:space="preserve"> </w:t>
            </w:r>
            <w:r>
              <w:rPr>
                <w:rFonts w:ascii="Lato;sans-serif" w:hAnsi="Lato;sans-serif"/>
                <w:b w:val="false"/>
                <w:color w:val="000000"/>
                <w:sz w:val="16"/>
              </w:rPr>
              <w:t>= Chair;</w:t>
            </w:r>
            <w:r>
              <w:rPr>
                <w:color w:val="0046C8"/>
              </w:rPr>
              <w:t>     </w:t>
            </w:r>
            <w:r>
              <w:rPr>
                <w:rFonts w:ascii="Lato Bold;sans-serif" w:hAnsi="Lato Bold;sans-serif"/>
                <w:b/>
                <w:color w:val="0046C8"/>
                <w:sz w:val="16"/>
              </w:rPr>
              <w:t>M</w:t>
            </w:r>
            <w:r>
              <w:rPr>
                <w:color w:val="000000"/>
              </w:rPr>
              <w:t xml:space="preserve"> </w:t>
            </w:r>
            <w:r>
              <w:rPr>
                <w:rFonts w:ascii="Lato;sans-serif" w:hAnsi="Lato;sans-serif"/>
                <w:b w:val="false"/>
                <w:color w:val="000000"/>
                <w:sz w:val="16"/>
              </w:rPr>
              <w:t>= Member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629920"/>
                <wp:effectExtent l="0" t="0" r="0" b="0"/>
                <wp:wrapNone/>
                <wp:docPr id="38" name="Frame1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47" w:type="dxa"/>
                              <w:jc w:val="left"/>
                              <w:tblInd w:w="0" w:type="dxa"/>
                              <w:tblLayout w:type="fixed"/>
                              <w:tblCellMar>
                                <w:top w:w="28" w:type="dxa"/>
                                <w:left w:w="28" w:type="dxa"/>
                                <w:bottom w:w="28" w:type="dxa"/>
                                <w:right w:w="28" w:type="dxa"/>
                              </w:tblCellMar>
                            </w:tblPr>
                            <w:tblGrid>
                              <w:gridCol w:w="124"/>
                              <w:gridCol w:w="109"/>
                              <w:gridCol w:w="109"/>
                              <w:gridCol w:w="645"/>
                              <w:gridCol w:w="645"/>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47" w:type="dxa"/>
                        <w:jc w:val="left"/>
                        <w:tblInd w:w="0" w:type="dxa"/>
                        <w:tblLayout w:type="fixed"/>
                        <w:tblCellMar>
                          <w:top w:w="28" w:type="dxa"/>
                          <w:left w:w="28" w:type="dxa"/>
                          <w:bottom w:w="28" w:type="dxa"/>
                          <w:right w:w="28" w:type="dxa"/>
                        </w:tblCellMar>
                      </w:tblPr>
                      <w:tblGrid>
                        <w:gridCol w:w="124"/>
                        <w:gridCol w:w="109"/>
                        <w:gridCol w:w="109"/>
                        <w:gridCol w:w="645"/>
                        <w:gridCol w:w="645"/>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1825" w:type="dxa"/>
        <w:jc w:val="left"/>
        <w:tblInd w:w="0" w:type="dxa"/>
        <w:tblLayout w:type="fixed"/>
        <w:tblCellMar>
          <w:top w:w="28" w:type="dxa"/>
          <w:left w:w="28" w:type="dxa"/>
          <w:bottom w:w="28" w:type="dxa"/>
          <w:right w:w="28" w:type="dxa"/>
        </w:tblCellMar>
      </w:tblPr>
      <w:tblGrid>
        <w:gridCol w:w="188"/>
        <w:gridCol w:w="166"/>
        <w:gridCol w:w="167"/>
        <w:gridCol w:w="382"/>
        <w:gridCol w:w="382"/>
        <w:gridCol w:w="540"/>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9" descr=""/>
                          <pic:cNvPicPr>
                            <a:picLocks noChangeAspect="1" noChangeArrowheads="1"/>
                          </pic:cNvPicPr>
                        </pic:nvPicPr>
                        <pic:blipFill>
                          <a:blip r:embed="rId30"/>
                          <a:stretch>
                            <a:fillRect/>
                          </a:stretch>
                        </pic:blipFill>
                        <pic:spPr bwMode="auto">
                          <a:xfrm>
                            <a:off x="0" y="0"/>
                            <a:ext cx="228600" cy="180975"/>
                          </a:xfrm>
                          <a:prstGeom prst="rect">
                            <a:avLst/>
                          </a:prstGeom>
                        </pic:spPr>
                      </pic:pic>
                    </a:graphicData>
                  </a:graphic>
                </wp:inline>
              </w:drawing>
            </w: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Proxy summary</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Board Snapshot</w:t>
      </w:r>
    </w:p>
    <w:tbl>
      <w:tblPr>
        <w:tblW w:w="9116" w:type="dxa"/>
        <w:jc w:val="left"/>
        <w:tblInd w:w="0" w:type="dxa"/>
        <w:tblLayout w:type="fixed"/>
        <w:tblCellMar>
          <w:top w:w="28" w:type="dxa"/>
          <w:left w:w="28" w:type="dxa"/>
          <w:bottom w:w="28" w:type="dxa"/>
          <w:right w:w="28" w:type="dxa"/>
        </w:tblCellMar>
      </w:tblPr>
      <w:tblGrid>
        <w:gridCol w:w="776"/>
        <w:gridCol w:w="682"/>
        <w:gridCol w:w="687"/>
        <w:gridCol w:w="404"/>
        <w:gridCol w:w="404"/>
        <w:gridCol w:w="406"/>
        <w:gridCol w:w="589"/>
        <w:gridCol w:w="589"/>
        <w:gridCol w:w="591"/>
        <w:gridCol w:w="519"/>
        <w:gridCol w:w="519"/>
        <w:gridCol w:w="521"/>
        <w:gridCol w:w="710"/>
        <w:gridCol w:w="710"/>
        <w:gridCol w:w="1009"/>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312" w:before="120" w:after="60"/>
              <w:jc w:val="left"/>
              <w:rPr>
                <w:rFonts w:ascii="Lato Bold;sans-serif" w:hAnsi="Lato Bold;sans-serif"/>
                <w:b/>
                <w:color w:val="000000"/>
                <w:sz w:val="19"/>
              </w:rPr>
            </w:pPr>
            <w:r>
              <w:rPr>
                <w:rFonts w:ascii="Lato Bold;sans-serif" w:hAnsi="Lato Bold;sans-serif"/>
                <w:b/>
                <w:color w:val="000000"/>
                <w:sz w:val="19"/>
              </w:rPr>
              <w:t>Diversity</w:t>
            </w:r>
          </w:p>
          <w:p>
            <w:pPr>
              <w:pStyle w:val="TableContents"/>
              <w:bidi w:val="0"/>
              <w:spacing w:lineRule="auto" w:line="312" w:before="60" w:after="120"/>
              <w:jc w:val="left"/>
              <w:rPr/>
            </w:pPr>
            <w:r>
              <w:rPr>
                <w:rFonts w:ascii="Lato;sans-serif" w:hAnsi="Lato;sans-serif"/>
                <w:b w:val="false"/>
                <w:color w:val="000000"/>
                <w:sz w:val="19"/>
              </w:rPr>
              <w:t xml:space="preserve">Female: </w:t>
            </w:r>
            <w:r>
              <w:rPr>
                <w:rFonts w:ascii="Lato Bold;sans-serif" w:hAnsi="Lato Bold;sans-serif"/>
                <w:b/>
                <w:color w:val="000000"/>
                <w:sz w:val="19"/>
              </w:rPr>
              <w:t>7</w:t>
            </w:r>
            <w:r>
              <w:rPr>
                <w:rFonts w:ascii="Lato;sans-serif" w:hAnsi="Lato;sans-serif"/>
                <w:b w:val="false"/>
                <w:color w:val="000000"/>
                <w:sz w:val="19"/>
              </w:rPr>
              <w:br/>
            </w:r>
            <w:r>
              <w:rPr/>
              <w:drawing>
                <wp:inline distT="0" distB="0" distL="0" distR="0">
                  <wp:extent cx="85725" cy="85725"/>
                  <wp:effectExtent l="0" t="0" r="0" b="0"/>
                  <wp:docPr id="4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0" descr=""/>
                          <pic:cNvPicPr>
                            <a:picLocks noChangeAspect="1" noChangeArrowheads="1"/>
                          </pic:cNvPicPr>
                        </pic:nvPicPr>
                        <pic:blipFill>
                          <a:blip r:embed="rId31"/>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4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1" descr=""/>
                          <pic:cNvPicPr>
                            <a:picLocks noChangeAspect="1" noChangeArrowheads="1"/>
                          </pic:cNvPicPr>
                        </pic:nvPicPr>
                        <pic:blipFill>
                          <a:blip r:embed="rId32"/>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4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2" descr=""/>
                          <pic:cNvPicPr>
                            <a:picLocks noChangeAspect="1" noChangeArrowheads="1"/>
                          </pic:cNvPicPr>
                        </pic:nvPicPr>
                        <pic:blipFill>
                          <a:blip r:embed="rId33"/>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4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3" descr=""/>
                          <pic:cNvPicPr>
                            <a:picLocks noChangeAspect="1" noChangeArrowheads="1"/>
                          </pic:cNvPicPr>
                        </pic:nvPicPr>
                        <pic:blipFill>
                          <a:blip r:embed="rId34"/>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4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4" descr=""/>
                          <pic:cNvPicPr>
                            <a:picLocks noChangeAspect="1" noChangeArrowheads="1"/>
                          </pic:cNvPicPr>
                        </pic:nvPicPr>
                        <pic:blipFill>
                          <a:blip r:embed="rId35"/>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4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5" descr=""/>
                          <pic:cNvPicPr>
                            <a:picLocks noChangeAspect="1" noChangeArrowheads="1"/>
                          </pic:cNvPicPr>
                        </pic:nvPicPr>
                        <pic:blipFill>
                          <a:blip r:embed="rId36"/>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4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6" descr=""/>
                          <pic:cNvPicPr>
                            <a:picLocks noChangeAspect="1" noChangeArrowheads="1"/>
                          </pic:cNvPicPr>
                        </pic:nvPicPr>
                        <pic:blipFill>
                          <a:blip r:embed="rId37"/>
                          <a:stretch>
                            <a:fillRect/>
                          </a:stretch>
                        </pic:blipFill>
                        <pic:spPr bwMode="auto">
                          <a:xfrm>
                            <a:off x="0" y="0"/>
                            <a:ext cx="85725" cy="85725"/>
                          </a:xfrm>
                          <a:prstGeom prst="rect">
                            <a:avLst/>
                          </a:prstGeom>
                        </pic:spPr>
                      </pic:pic>
                    </a:graphicData>
                  </a:graphic>
                </wp:inline>
              </w:drawing>
            </w:r>
          </w:p>
        </w:tc>
        <w:tc>
          <w:tcPr>
            <w:tcW w:w="1214" w:type="dxa"/>
            <w:gridSpan w:val="3"/>
            <w:tcBorders/>
            <w:tcMar>
              <w:top w:w="0" w:type="dxa"/>
              <w:left w:w="0" w:type="dxa"/>
              <w:bottom w:w="0" w:type="dxa"/>
              <w:right w:w="0" w:type="dxa"/>
            </w:tcMar>
            <w:vAlign w:val="center"/>
          </w:tcPr>
          <w:p>
            <w:pPr>
              <w:pStyle w:val="TableContents"/>
              <w:bidi w:val="0"/>
              <w:spacing w:before="120" w:after="60"/>
              <w:jc w:val="left"/>
              <w:rPr/>
            </w:pPr>
            <w:r>
              <w:rPr/>
            </w:r>
          </w:p>
          <w:p>
            <w:pPr>
              <w:pStyle w:val="TableContents"/>
              <w:bidi w:val="0"/>
              <w:spacing w:lineRule="auto" w:line="312" w:before="60" w:after="120"/>
              <w:jc w:val="left"/>
              <w:rPr/>
            </w:pPr>
            <w:r>
              <w:rPr>
                <w:rFonts w:ascii="Lato;sans-serif" w:hAnsi="Lato;sans-serif"/>
                <w:b w:val="false"/>
                <w:color w:val="000000"/>
                <w:sz w:val="19"/>
              </w:rPr>
              <w:t xml:space="preserve">Male: </w:t>
            </w:r>
            <w:r>
              <w:rPr>
                <w:rFonts w:ascii="Lato Bold;sans-serif" w:hAnsi="Lato Bold;sans-serif"/>
                <w:b/>
                <w:color w:val="000000"/>
                <w:sz w:val="19"/>
              </w:rPr>
              <w:t>6</w:t>
            </w:r>
            <w:r>
              <w:rPr>
                <w:rFonts w:ascii="Lato;sans-serif" w:hAnsi="Lato;sans-serif"/>
                <w:b w:val="false"/>
                <w:color w:val="000000"/>
                <w:sz w:val="19"/>
              </w:rPr>
              <w:br/>
            </w:r>
            <w:r>
              <w:rPr/>
              <w:drawing>
                <wp:inline distT="0" distB="0" distL="0" distR="0">
                  <wp:extent cx="85725" cy="85725"/>
                  <wp:effectExtent l="0" t="0" r="0" b="0"/>
                  <wp:docPr id="4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7" descr=""/>
                          <pic:cNvPicPr>
                            <a:picLocks noChangeAspect="1" noChangeArrowheads="1"/>
                          </pic:cNvPicPr>
                        </pic:nvPicPr>
                        <pic:blipFill>
                          <a:blip r:embed="rId38"/>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4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 descr=""/>
                          <pic:cNvPicPr>
                            <a:picLocks noChangeAspect="1" noChangeArrowheads="1"/>
                          </pic:cNvPicPr>
                        </pic:nvPicPr>
                        <pic:blipFill>
                          <a:blip r:embed="rId39"/>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4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9" descr=""/>
                          <pic:cNvPicPr>
                            <a:picLocks noChangeAspect="1" noChangeArrowheads="1"/>
                          </pic:cNvPicPr>
                        </pic:nvPicPr>
                        <pic:blipFill>
                          <a:blip r:embed="rId40"/>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5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0" descr=""/>
                          <pic:cNvPicPr>
                            <a:picLocks noChangeAspect="1" noChangeArrowheads="1"/>
                          </pic:cNvPicPr>
                        </pic:nvPicPr>
                        <pic:blipFill>
                          <a:blip r:embed="rId41"/>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5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1" descr=""/>
                          <pic:cNvPicPr>
                            <a:picLocks noChangeAspect="1" noChangeArrowheads="1"/>
                          </pic:cNvPicPr>
                        </pic:nvPicPr>
                        <pic:blipFill>
                          <a:blip r:embed="rId42"/>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5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2" descr=""/>
                          <pic:cNvPicPr>
                            <a:picLocks noChangeAspect="1" noChangeArrowheads="1"/>
                          </pic:cNvPicPr>
                        </pic:nvPicPr>
                        <pic:blipFill>
                          <a:blip r:embed="rId43"/>
                          <a:stretch>
                            <a:fillRect/>
                          </a:stretch>
                        </pic:blipFill>
                        <pic:spPr bwMode="auto">
                          <a:xfrm>
                            <a:off x="0" y="0"/>
                            <a:ext cx="85725" cy="85725"/>
                          </a:xfrm>
                          <a:prstGeom prst="rect">
                            <a:avLst/>
                          </a:prstGeom>
                        </pic:spPr>
                      </pic:pic>
                    </a:graphicData>
                  </a:graphic>
                </wp:inline>
              </w:drawing>
            </w:r>
          </w:p>
        </w:tc>
        <w:tc>
          <w:tcPr>
            <w:tcW w:w="1769" w:type="dxa"/>
            <w:gridSpan w:val="3"/>
            <w:vMerge w:val="restart"/>
            <w:tcBorders>
              <w:left w:val="single" w:sz="4" w:space="0" w:color="BCBEC0"/>
              <w:right w:val="single" w:sz="4" w:space="0" w:color="BCBEC0"/>
            </w:tcBorders>
            <w:tcMar>
              <w:top w:w="0" w:type="dxa"/>
              <w:bottom w:w="0" w:type="dxa"/>
            </w:tcMar>
            <w:vAlign w:val="center"/>
          </w:tcPr>
          <w:p>
            <w:pPr>
              <w:pStyle w:val="TableContents"/>
              <w:bidi w:val="0"/>
              <w:spacing w:lineRule="auto" w:line="312" w:before="120" w:after="60"/>
              <w:jc w:val="left"/>
              <w:rPr>
                <w:rFonts w:ascii="Lato Bold;sans-serif" w:hAnsi="Lato Bold;sans-serif"/>
                <w:b/>
                <w:color w:val="000000"/>
                <w:sz w:val="19"/>
              </w:rPr>
            </w:pPr>
            <w:r>
              <w:rPr>
                <w:rFonts w:ascii="Lato Bold;sans-serif" w:hAnsi="Lato Bold;sans-serif"/>
                <w:b/>
                <w:color w:val="000000"/>
                <w:sz w:val="19"/>
              </w:rPr>
              <w:t>Tenure</w:t>
            </w:r>
          </w:p>
          <w:p>
            <w:pPr>
              <w:pStyle w:val="TableContents"/>
              <w:bidi w:val="0"/>
              <w:spacing w:lineRule="auto" w:line="312" w:before="60" w:after="120"/>
              <w:jc w:val="left"/>
              <w:rPr/>
            </w:pPr>
            <w:r>
              <w:rPr>
                <w:rFonts w:ascii="Lato;sans-serif" w:hAnsi="Lato;sans-serif"/>
                <w:b w:val="false"/>
                <w:color w:val="000000"/>
                <w:sz w:val="19"/>
              </w:rPr>
              <w:t xml:space="preserve">&lt;5 years: </w:t>
            </w:r>
            <w:r>
              <w:rPr>
                <w:rFonts w:ascii="Lato Bold;sans-serif" w:hAnsi="Lato Bold;sans-serif"/>
                <w:b/>
                <w:color w:val="000000"/>
                <w:sz w:val="19"/>
              </w:rPr>
              <w:t>6</w:t>
            </w:r>
            <w:r>
              <w:rPr>
                <w:rFonts w:ascii="Lato;sans-serif" w:hAnsi="Lato;sans-serif"/>
                <w:b w:val="false"/>
                <w:color w:val="000000"/>
                <w:sz w:val="19"/>
              </w:rPr>
              <w:br/>
            </w:r>
            <w:r>
              <w:rPr/>
              <w:drawing>
                <wp:inline distT="0" distB="0" distL="0" distR="0">
                  <wp:extent cx="85725" cy="85725"/>
                  <wp:effectExtent l="0" t="0" r="0" b="0"/>
                  <wp:docPr id="5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3" descr=""/>
                          <pic:cNvPicPr>
                            <a:picLocks noChangeAspect="1" noChangeArrowheads="1"/>
                          </pic:cNvPicPr>
                        </pic:nvPicPr>
                        <pic:blipFill>
                          <a:blip r:embed="rId44"/>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5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4" descr=""/>
                          <pic:cNvPicPr>
                            <a:picLocks noChangeAspect="1" noChangeArrowheads="1"/>
                          </pic:cNvPicPr>
                        </pic:nvPicPr>
                        <pic:blipFill>
                          <a:blip r:embed="rId45"/>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5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5" descr=""/>
                          <pic:cNvPicPr>
                            <a:picLocks noChangeAspect="1" noChangeArrowheads="1"/>
                          </pic:cNvPicPr>
                        </pic:nvPicPr>
                        <pic:blipFill>
                          <a:blip r:embed="rId46"/>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6" descr=""/>
                          <pic:cNvPicPr>
                            <a:picLocks noChangeAspect="1" noChangeArrowheads="1"/>
                          </pic:cNvPicPr>
                        </pic:nvPicPr>
                        <pic:blipFill>
                          <a:blip r:embed="rId47"/>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5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7" descr=""/>
                          <pic:cNvPicPr>
                            <a:picLocks noChangeAspect="1" noChangeArrowheads="1"/>
                          </pic:cNvPicPr>
                        </pic:nvPicPr>
                        <pic:blipFill>
                          <a:blip r:embed="rId48"/>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5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8" descr=""/>
                          <pic:cNvPicPr>
                            <a:picLocks noChangeAspect="1" noChangeArrowheads="1"/>
                          </pic:cNvPicPr>
                        </pic:nvPicPr>
                        <pic:blipFill>
                          <a:blip r:embed="rId49"/>
                          <a:stretch>
                            <a:fillRect/>
                          </a:stretch>
                        </pic:blipFill>
                        <pic:spPr bwMode="auto">
                          <a:xfrm>
                            <a:off x="0" y="0"/>
                            <a:ext cx="85725" cy="85725"/>
                          </a:xfrm>
                          <a:prstGeom prst="rect">
                            <a:avLst/>
                          </a:prstGeom>
                        </pic:spPr>
                      </pic:pic>
                    </a:graphicData>
                  </a:graphic>
                </wp:inline>
              </w:drawing>
            </w:r>
          </w:p>
          <w:p>
            <w:pPr>
              <w:pStyle w:val="TableContents"/>
              <w:bidi w:val="0"/>
              <w:spacing w:lineRule="auto" w:line="312" w:before="120" w:after="120"/>
              <w:jc w:val="left"/>
              <w:rPr/>
            </w:pPr>
            <w:r>
              <w:rPr>
                <w:rFonts w:ascii="Lato;sans-serif" w:hAnsi="Lato;sans-serif"/>
                <w:b w:val="false"/>
                <w:color w:val="000000"/>
                <w:sz w:val="19"/>
              </w:rPr>
              <w:t xml:space="preserve">5-10 years: </w:t>
            </w:r>
            <w:r>
              <w:rPr>
                <w:rFonts w:ascii="Lato;sans-serif" w:hAnsi="Lato;sans-serif"/>
                <w:b/>
                <w:color w:val="000000"/>
                <w:sz w:val="19"/>
              </w:rPr>
              <w:t>6</w:t>
            </w:r>
            <w:r>
              <w:rPr>
                <w:rFonts w:ascii="Lato;sans-serif" w:hAnsi="Lato;sans-serif"/>
                <w:b w:val="false"/>
                <w:color w:val="000000"/>
                <w:sz w:val="19"/>
              </w:rPr>
              <w:br/>
            </w:r>
            <w:r>
              <w:rPr/>
              <w:drawing>
                <wp:inline distT="0" distB="0" distL="0" distR="0">
                  <wp:extent cx="85725" cy="85725"/>
                  <wp:effectExtent l="0" t="0" r="0" b="0"/>
                  <wp:docPr id="5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9" descr=""/>
                          <pic:cNvPicPr>
                            <a:picLocks noChangeAspect="1" noChangeArrowheads="1"/>
                          </pic:cNvPicPr>
                        </pic:nvPicPr>
                        <pic:blipFill>
                          <a:blip r:embed="rId50"/>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6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 descr=""/>
                          <pic:cNvPicPr>
                            <a:picLocks noChangeAspect="1" noChangeArrowheads="1"/>
                          </pic:cNvPicPr>
                        </pic:nvPicPr>
                        <pic:blipFill>
                          <a:blip r:embed="rId51"/>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6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1" descr=""/>
                          <pic:cNvPicPr>
                            <a:picLocks noChangeAspect="1" noChangeArrowheads="1"/>
                          </pic:cNvPicPr>
                        </pic:nvPicPr>
                        <pic:blipFill>
                          <a:blip r:embed="rId52"/>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6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2" descr=""/>
                          <pic:cNvPicPr>
                            <a:picLocks noChangeAspect="1" noChangeArrowheads="1"/>
                          </pic:cNvPicPr>
                        </pic:nvPicPr>
                        <pic:blipFill>
                          <a:blip r:embed="rId53"/>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6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3" descr=""/>
                          <pic:cNvPicPr>
                            <a:picLocks noChangeAspect="1" noChangeArrowheads="1"/>
                          </pic:cNvPicPr>
                        </pic:nvPicPr>
                        <pic:blipFill>
                          <a:blip r:embed="rId54"/>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6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4" descr=""/>
                          <pic:cNvPicPr>
                            <a:picLocks noChangeAspect="1" noChangeArrowheads="1"/>
                          </pic:cNvPicPr>
                        </pic:nvPicPr>
                        <pic:blipFill>
                          <a:blip r:embed="rId55"/>
                          <a:stretch>
                            <a:fillRect/>
                          </a:stretch>
                        </pic:blipFill>
                        <pic:spPr bwMode="auto">
                          <a:xfrm>
                            <a:off x="0" y="0"/>
                            <a:ext cx="85725" cy="85725"/>
                          </a:xfrm>
                          <a:prstGeom prst="rect">
                            <a:avLst/>
                          </a:prstGeom>
                        </pic:spPr>
                      </pic:pic>
                    </a:graphicData>
                  </a:graphic>
                </wp:inline>
              </w:drawing>
            </w:r>
          </w:p>
          <w:p>
            <w:pPr>
              <w:pStyle w:val="TableContents"/>
              <w:bidi w:val="0"/>
              <w:spacing w:lineRule="auto" w:line="312" w:before="120" w:after="60"/>
              <w:jc w:val="left"/>
              <w:rPr/>
            </w:pPr>
            <w:r>
              <w:rPr>
                <w:rFonts w:ascii="Lato;sans-serif" w:hAnsi="Lato;sans-serif"/>
                <w:b w:val="false"/>
                <w:color w:val="000000"/>
                <w:sz w:val="19"/>
              </w:rPr>
              <w:t xml:space="preserve">&gt;10 years: </w:t>
            </w:r>
            <w:r>
              <w:rPr>
                <w:rFonts w:ascii="Lato Bold;sans-serif" w:hAnsi="Lato Bold;sans-serif"/>
                <w:b w:val="false"/>
                <w:color w:val="000000"/>
                <w:sz w:val="19"/>
              </w:rPr>
              <w:t>1</w:t>
            </w:r>
            <w:r>
              <w:rPr>
                <w:rFonts w:ascii="Lato;sans-serif" w:hAnsi="Lato;sans-serif"/>
                <w:b w:val="false"/>
                <w:color w:val="000000"/>
                <w:sz w:val="19"/>
              </w:rPr>
              <w:br/>
            </w:r>
            <w:r>
              <w:rPr/>
              <w:drawing>
                <wp:inline distT="0" distB="0" distL="0" distR="0">
                  <wp:extent cx="85725" cy="85725"/>
                  <wp:effectExtent l="0" t="0" r="0" b="0"/>
                  <wp:docPr id="6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5" descr=""/>
                          <pic:cNvPicPr>
                            <a:picLocks noChangeAspect="1" noChangeArrowheads="1"/>
                          </pic:cNvPicPr>
                        </pic:nvPicPr>
                        <pic:blipFill>
                          <a:blip r:embed="rId56"/>
                          <a:stretch>
                            <a:fillRect/>
                          </a:stretch>
                        </pic:blipFill>
                        <pic:spPr bwMode="auto">
                          <a:xfrm>
                            <a:off x="0" y="0"/>
                            <a:ext cx="85725" cy="85725"/>
                          </a:xfrm>
                          <a:prstGeom prst="rect">
                            <a:avLst/>
                          </a:prstGeom>
                        </pic:spPr>
                      </pic:pic>
                    </a:graphicData>
                  </a:graphic>
                </wp:inline>
              </w:drawing>
            </w:r>
            <w:r>
              <w:rPr>
                <w:color w:val="000000"/>
              </w:rPr>
              <w:t xml:space="preserve"> </w:t>
            </w:r>
          </w:p>
          <w:p>
            <w:pPr>
              <w:pStyle w:val="TableContents"/>
              <w:bidi w:val="0"/>
              <w:spacing w:lineRule="auto" w:line="312" w:before="60" w:after="60"/>
              <w:jc w:val="left"/>
              <w:rPr/>
            </w:pPr>
            <w:r>
              <w:rPr>
                <w:rFonts w:ascii="Lato Bold;sans-serif" w:hAnsi="Lato Bold;sans-serif"/>
                <w:b/>
                <w:color w:val="000000"/>
                <w:sz w:val="19"/>
              </w:rPr>
              <w:t>Median tenure:</w:t>
            </w:r>
            <w:r>
              <w:rPr>
                <w:rFonts w:ascii="Lato;sans-serif" w:hAnsi="Lato;sans-serif"/>
                <w:b w:val="false"/>
                <w:color w:val="000000"/>
                <w:sz w:val="19"/>
              </w:rPr>
              <w:br/>
            </w:r>
            <w:r>
              <w:rPr>
                <w:rFonts w:ascii="Lato Bold;sans-serif" w:hAnsi="Lato Bold;sans-serif"/>
                <w:b/>
                <w:color w:val="0046C8"/>
                <w:sz w:val="30"/>
              </w:rPr>
              <w:t>5.0 years</w:t>
            </w:r>
          </w:p>
        </w:tc>
        <w:tc>
          <w:tcPr>
            <w:tcW w:w="1559" w:type="dxa"/>
            <w:gridSpan w:val="3"/>
            <w:vMerge w:val="restart"/>
            <w:tcBorders>
              <w:left w:val="single" w:sz="4" w:space="0" w:color="BCBEC0"/>
              <w:right w:val="single" w:sz="4" w:space="0" w:color="BCBEC0"/>
            </w:tcBorders>
            <w:tcMar>
              <w:top w:w="0" w:type="dxa"/>
              <w:bottom w:w="0" w:type="dxa"/>
            </w:tcMar>
            <w:vAlign w:val="center"/>
          </w:tcPr>
          <w:p>
            <w:pPr>
              <w:pStyle w:val="TableContents"/>
              <w:bidi w:val="0"/>
              <w:spacing w:lineRule="auto" w:line="312" w:before="120" w:after="60"/>
              <w:jc w:val="left"/>
              <w:rPr>
                <w:rFonts w:ascii="Lato Bold;sans-serif" w:hAnsi="Lato Bold;sans-serif"/>
                <w:b/>
                <w:color w:val="000000"/>
                <w:sz w:val="19"/>
              </w:rPr>
            </w:pPr>
            <w:r>
              <w:rPr>
                <w:rFonts w:ascii="Lato Bold;sans-serif" w:hAnsi="Lato Bold;sans-serif"/>
                <w:b/>
                <w:color w:val="000000"/>
                <w:sz w:val="19"/>
              </w:rPr>
              <w:t>Age</w:t>
            </w:r>
          </w:p>
          <w:p>
            <w:pPr>
              <w:pStyle w:val="TableContents"/>
              <w:bidi w:val="0"/>
              <w:spacing w:lineRule="auto" w:line="312" w:before="60" w:after="120"/>
              <w:jc w:val="left"/>
              <w:rPr/>
            </w:pPr>
            <w:r>
              <w:rPr>
                <w:rFonts w:ascii="Lato;sans-serif" w:hAnsi="Lato;sans-serif"/>
                <w:b w:val="false"/>
                <w:color w:val="000000"/>
                <w:sz w:val="19"/>
              </w:rPr>
              <w:t xml:space="preserve">&lt; 50 years: </w:t>
            </w:r>
            <w:r>
              <w:rPr>
                <w:rFonts w:ascii="Lato Bold;sans-serif" w:hAnsi="Lato Bold;sans-serif"/>
                <w:b w:val="false"/>
                <w:color w:val="000000"/>
                <w:sz w:val="19"/>
              </w:rPr>
              <w:t>1</w:t>
            </w:r>
            <w:r>
              <w:rPr>
                <w:rFonts w:ascii="Lato;sans-serif" w:hAnsi="Lato;sans-serif"/>
                <w:b/>
                <w:color w:val="000000"/>
                <w:sz w:val="19"/>
              </w:rPr>
              <w:br/>
            </w:r>
            <w:r>
              <w:rPr/>
              <w:drawing>
                <wp:inline distT="0" distB="0" distL="0" distR="0">
                  <wp:extent cx="85725" cy="85725"/>
                  <wp:effectExtent l="0" t="0" r="0" b="0"/>
                  <wp:docPr id="6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6" descr=""/>
                          <pic:cNvPicPr>
                            <a:picLocks noChangeAspect="1" noChangeArrowheads="1"/>
                          </pic:cNvPicPr>
                        </pic:nvPicPr>
                        <pic:blipFill>
                          <a:blip r:embed="rId57"/>
                          <a:stretch>
                            <a:fillRect/>
                          </a:stretch>
                        </pic:blipFill>
                        <pic:spPr bwMode="auto">
                          <a:xfrm>
                            <a:off x="0" y="0"/>
                            <a:ext cx="85725" cy="85725"/>
                          </a:xfrm>
                          <a:prstGeom prst="rect">
                            <a:avLst/>
                          </a:prstGeom>
                        </pic:spPr>
                      </pic:pic>
                    </a:graphicData>
                  </a:graphic>
                </wp:inline>
              </w:drawing>
            </w:r>
          </w:p>
          <w:p>
            <w:pPr>
              <w:pStyle w:val="TableContents"/>
              <w:bidi w:val="0"/>
              <w:spacing w:lineRule="auto" w:line="312" w:before="120" w:after="120"/>
              <w:jc w:val="left"/>
              <w:rPr/>
            </w:pPr>
            <w:r>
              <w:rPr>
                <w:rFonts w:ascii="Lato;sans-serif" w:hAnsi="Lato;sans-serif"/>
                <w:b w:val="false"/>
                <w:color w:val="000000"/>
                <w:sz w:val="19"/>
              </w:rPr>
              <w:t xml:space="preserve">50-60 years: </w:t>
            </w:r>
            <w:r>
              <w:rPr>
                <w:rFonts w:ascii="Lato;sans-serif" w:hAnsi="Lato;sans-serif"/>
                <w:b/>
                <w:color w:val="000000"/>
                <w:sz w:val="19"/>
              </w:rPr>
              <w:t>6</w:t>
            </w:r>
            <w:r>
              <w:rPr>
                <w:rFonts w:ascii="Lato;sans-serif" w:hAnsi="Lato;sans-serif"/>
                <w:b w:val="false"/>
                <w:color w:val="000000"/>
                <w:sz w:val="19"/>
              </w:rPr>
              <w:br/>
            </w:r>
            <w:r>
              <w:rPr/>
              <w:drawing>
                <wp:inline distT="0" distB="0" distL="0" distR="0">
                  <wp:extent cx="85725" cy="85725"/>
                  <wp:effectExtent l="0" t="0" r="0" b="0"/>
                  <wp:docPr id="6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7" descr=""/>
                          <pic:cNvPicPr>
                            <a:picLocks noChangeAspect="1" noChangeArrowheads="1"/>
                          </pic:cNvPicPr>
                        </pic:nvPicPr>
                        <pic:blipFill>
                          <a:blip r:embed="rId58"/>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6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8" descr=""/>
                          <pic:cNvPicPr>
                            <a:picLocks noChangeAspect="1" noChangeArrowheads="1"/>
                          </pic:cNvPicPr>
                        </pic:nvPicPr>
                        <pic:blipFill>
                          <a:blip r:embed="rId59"/>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6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9" descr=""/>
                          <pic:cNvPicPr>
                            <a:picLocks noChangeAspect="1" noChangeArrowheads="1"/>
                          </pic:cNvPicPr>
                        </pic:nvPicPr>
                        <pic:blipFill>
                          <a:blip r:embed="rId60"/>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7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0" descr=""/>
                          <pic:cNvPicPr>
                            <a:picLocks noChangeAspect="1" noChangeArrowheads="1"/>
                          </pic:cNvPicPr>
                        </pic:nvPicPr>
                        <pic:blipFill>
                          <a:blip r:embed="rId61"/>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7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1" descr=""/>
                          <pic:cNvPicPr>
                            <a:picLocks noChangeAspect="1" noChangeArrowheads="1"/>
                          </pic:cNvPicPr>
                        </pic:nvPicPr>
                        <pic:blipFill>
                          <a:blip r:embed="rId62"/>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7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2" descr=""/>
                          <pic:cNvPicPr>
                            <a:picLocks noChangeAspect="1" noChangeArrowheads="1"/>
                          </pic:cNvPicPr>
                        </pic:nvPicPr>
                        <pic:blipFill>
                          <a:blip r:embed="rId63"/>
                          <a:stretch>
                            <a:fillRect/>
                          </a:stretch>
                        </pic:blipFill>
                        <pic:spPr bwMode="auto">
                          <a:xfrm>
                            <a:off x="0" y="0"/>
                            <a:ext cx="85725" cy="85725"/>
                          </a:xfrm>
                          <a:prstGeom prst="rect">
                            <a:avLst/>
                          </a:prstGeom>
                        </pic:spPr>
                      </pic:pic>
                    </a:graphicData>
                  </a:graphic>
                </wp:inline>
              </w:drawing>
            </w:r>
          </w:p>
          <w:p>
            <w:pPr>
              <w:pStyle w:val="TableContents"/>
              <w:bidi w:val="0"/>
              <w:spacing w:lineRule="auto" w:line="312" w:before="120" w:after="60"/>
              <w:jc w:val="left"/>
              <w:rPr/>
            </w:pPr>
            <w:r>
              <w:rPr>
                <w:rFonts w:ascii="Lato;sans-serif" w:hAnsi="Lato;sans-serif"/>
                <w:b w:val="false"/>
                <w:color w:val="000000"/>
                <w:sz w:val="19"/>
              </w:rPr>
              <w:t xml:space="preserve">61-70 years: </w:t>
            </w:r>
            <w:r>
              <w:rPr>
                <w:rFonts w:ascii="Lato;sans-serif" w:hAnsi="Lato;sans-serif"/>
                <w:b/>
                <w:color w:val="000000"/>
                <w:sz w:val="19"/>
              </w:rPr>
              <w:t>6</w:t>
            </w:r>
            <w:r>
              <w:rPr>
                <w:rFonts w:ascii="Lato;sans-serif" w:hAnsi="Lato;sans-serif"/>
                <w:b w:val="false"/>
                <w:color w:val="000000"/>
                <w:sz w:val="19"/>
              </w:rPr>
              <w:br/>
            </w:r>
            <w:r>
              <w:rPr/>
              <w:drawing>
                <wp:inline distT="0" distB="0" distL="0" distR="0">
                  <wp:extent cx="85725" cy="85725"/>
                  <wp:effectExtent l="0" t="0" r="0" b="0"/>
                  <wp:docPr id="7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3" descr=""/>
                          <pic:cNvPicPr>
                            <a:picLocks noChangeAspect="1" noChangeArrowheads="1"/>
                          </pic:cNvPicPr>
                        </pic:nvPicPr>
                        <pic:blipFill>
                          <a:blip r:embed="rId64"/>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7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4" descr=""/>
                          <pic:cNvPicPr>
                            <a:picLocks noChangeAspect="1" noChangeArrowheads="1"/>
                          </pic:cNvPicPr>
                        </pic:nvPicPr>
                        <pic:blipFill>
                          <a:blip r:embed="rId65"/>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7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5" descr=""/>
                          <pic:cNvPicPr>
                            <a:picLocks noChangeAspect="1" noChangeArrowheads="1"/>
                          </pic:cNvPicPr>
                        </pic:nvPicPr>
                        <pic:blipFill>
                          <a:blip r:embed="rId66"/>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7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6" descr=""/>
                          <pic:cNvPicPr>
                            <a:picLocks noChangeAspect="1" noChangeArrowheads="1"/>
                          </pic:cNvPicPr>
                        </pic:nvPicPr>
                        <pic:blipFill>
                          <a:blip r:embed="rId67"/>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7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7" descr=""/>
                          <pic:cNvPicPr>
                            <a:picLocks noChangeAspect="1" noChangeArrowheads="1"/>
                          </pic:cNvPicPr>
                        </pic:nvPicPr>
                        <pic:blipFill>
                          <a:blip r:embed="rId68"/>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7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8" descr=""/>
                          <pic:cNvPicPr>
                            <a:picLocks noChangeAspect="1" noChangeArrowheads="1"/>
                          </pic:cNvPicPr>
                        </pic:nvPicPr>
                        <pic:blipFill>
                          <a:blip r:embed="rId69"/>
                          <a:stretch>
                            <a:fillRect/>
                          </a:stretch>
                        </pic:blipFill>
                        <pic:spPr bwMode="auto">
                          <a:xfrm>
                            <a:off x="0" y="0"/>
                            <a:ext cx="85725" cy="85725"/>
                          </a:xfrm>
                          <a:prstGeom prst="rect">
                            <a:avLst/>
                          </a:prstGeom>
                        </pic:spPr>
                      </pic:pic>
                    </a:graphicData>
                  </a:graphic>
                </wp:inline>
              </w:drawing>
            </w:r>
          </w:p>
          <w:p>
            <w:pPr>
              <w:pStyle w:val="TableContents"/>
              <w:bidi w:val="0"/>
              <w:spacing w:lineRule="auto" w:line="312" w:before="60" w:after="60"/>
              <w:jc w:val="left"/>
              <w:rPr/>
            </w:pPr>
            <w:r>
              <w:rPr>
                <w:rFonts w:ascii="Lato Bold;sans-serif" w:hAnsi="Lato Bold;sans-serif"/>
                <w:b/>
                <w:color w:val="000000"/>
                <w:sz w:val="19"/>
              </w:rPr>
              <w:t>Average age:</w:t>
            </w:r>
            <w:r>
              <w:rPr>
                <w:rFonts w:ascii="Lato;sans-serif" w:hAnsi="Lato;sans-serif"/>
                <w:b w:val="false"/>
                <w:color w:val="000000"/>
                <w:sz w:val="19"/>
              </w:rPr>
              <w:br/>
            </w:r>
            <w:r>
              <w:rPr>
                <w:rFonts w:ascii="Lato Bold;sans-serif" w:hAnsi="Lato Bold;sans-serif"/>
                <w:b/>
                <w:color w:val="0046C8"/>
                <w:sz w:val="30"/>
              </w:rPr>
              <w:t>60 years</w:t>
            </w:r>
          </w:p>
        </w:tc>
        <w:tc>
          <w:tcPr>
            <w:tcW w:w="2429" w:type="dxa"/>
            <w:gridSpan w:val="3"/>
            <w:vMerge w:val="restart"/>
            <w:tcBorders>
              <w:left w:val="single" w:sz="4" w:space="0" w:color="BCBEC0"/>
            </w:tcBorders>
            <w:tcMar>
              <w:top w:w="0" w:type="dxa"/>
              <w:bottom w:w="0" w:type="dxa"/>
              <w:right w:w="0" w:type="dxa"/>
            </w:tcMar>
            <w:vAlign w:val="center"/>
          </w:tcPr>
          <w:p>
            <w:pPr>
              <w:pStyle w:val="TableContents"/>
              <w:bidi w:val="0"/>
              <w:spacing w:lineRule="auto" w:line="312" w:before="120" w:after="60"/>
              <w:jc w:val="left"/>
              <w:rPr>
                <w:rFonts w:ascii="Lato Bold;sans-serif" w:hAnsi="Lato Bold;sans-serif"/>
                <w:b/>
                <w:color w:val="000000"/>
                <w:sz w:val="19"/>
              </w:rPr>
            </w:pPr>
            <w:r>
              <w:rPr>
                <w:rFonts w:ascii="Lato Bold;sans-serif" w:hAnsi="Lato Bold;sans-serif"/>
                <w:b/>
                <w:color w:val="000000"/>
                <w:sz w:val="19"/>
              </w:rPr>
              <w:t>Independence</w:t>
            </w:r>
          </w:p>
          <w:p>
            <w:pPr>
              <w:pStyle w:val="TableContents"/>
              <w:bidi w:val="0"/>
              <w:spacing w:lineRule="auto" w:line="312" w:before="60" w:after="120"/>
              <w:jc w:val="left"/>
              <w:rPr/>
            </w:pPr>
            <w:r>
              <w:rPr>
                <w:rFonts w:ascii="Lato;sans-serif" w:hAnsi="Lato;sans-serif"/>
                <w:b w:val="false"/>
                <w:color w:val="000000"/>
                <w:sz w:val="19"/>
              </w:rPr>
              <w:t xml:space="preserve">Independent: </w:t>
            </w:r>
            <w:r>
              <w:rPr>
                <w:rFonts w:ascii="Lato Bold;sans-serif" w:hAnsi="Lato Bold;sans-serif"/>
                <w:b/>
                <w:color w:val="000000"/>
                <w:sz w:val="19"/>
              </w:rPr>
              <w:t>12</w:t>
            </w:r>
            <w:r>
              <w:rPr>
                <w:rFonts w:ascii="Lato;sans-serif" w:hAnsi="Lato;sans-serif"/>
                <w:b w:val="false"/>
                <w:color w:val="000000"/>
                <w:sz w:val="19"/>
              </w:rPr>
              <w:br/>
            </w:r>
            <w:r>
              <w:rPr/>
              <w:drawing>
                <wp:inline distT="0" distB="0" distL="0" distR="0">
                  <wp:extent cx="85725" cy="85725"/>
                  <wp:effectExtent l="0" t="0" r="0" b="0"/>
                  <wp:docPr id="7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9" descr=""/>
                          <pic:cNvPicPr>
                            <a:picLocks noChangeAspect="1" noChangeArrowheads="1"/>
                          </pic:cNvPicPr>
                        </pic:nvPicPr>
                        <pic:blipFill>
                          <a:blip r:embed="rId70"/>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8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0" descr=""/>
                          <pic:cNvPicPr>
                            <a:picLocks noChangeAspect="1" noChangeArrowheads="1"/>
                          </pic:cNvPicPr>
                        </pic:nvPicPr>
                        <pic:blipFill>
                          <a:blip r:embed="rId71"/>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8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1" descr=""/>
                          <pic:cNvPicPr>
                            <a:picLocks noChangeAspect="1" noChangeArrowheads="1"/>
                          </pic:cNvPicPr>
                        </pic:nvPicPr>
                        <pic:blipFill>
                          <a:blip r:embed="rId72"/>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8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2" descr=""/>
                          <pic:cNvPicPr>
                            <a:picLocks noChangeAspect="1" noChangeArrowheads="1"/>
                          </pic:cNvPicPr>
                        </pic:nvPicPr>
                        <pic:blipFill>
                          <a:blip r:embed="rId73"/>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8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3" descr=""/>
                          <pic:cNvPicPr>
                            <a:picLocks noChangeAspect="1" noChangeArrowheads="1"/>
                          </pic:cNvPicPr>
                        </pic:nvPicPr>
                        <pic:blipFill>
                          <a:blip r:embed="rId74"/>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8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4" descr=""/>
                          <pic:cNvPicPr>
                            <a:picLocks noChangeAspect="1" noChangeArrowheads="1"/>
                          </pic:cNvPicPr>
                        </pic:nvPicPr>
                        <pic:blipFill>
                          <a:blip r:embed="rId75"/>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8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5" descr=""/>
                          <pic:cNvPicPr>
                            <a:picLocks noChangeAspect="1" noChangeArrowheads="1"/>
                          </pic:cNvPicPr>
                        </pic:nvPicPr>
                        <pic:blipFill>
                          <a:blip r:embed="rId76"/>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8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6" descr=""/>
                          <pic:cNvPicPr>
                            <a:picLocks noChangeAspect="1" noChangeArrowheads="1"/>
                          </pic:cNvPicPr>
                        </pic:nvPicPr>
                        <pic:blipFill>
                          <a:blip r:embed="rId77"/>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8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7" descr=""/>
                          <pic:cNvPicPr>
                            <a:picLocks noChangeAspect="1" noChangeArrowheads="1"/>
                          </pic:cNvPicPr>
                        </pic:nvPicPr>
                        <pic:blipFill>
                          <a:blip r:embed="rId78"/>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8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8" descr=""/>
                          <pic:cNvPicPr>
                            <a:picLocks noChangeAspect="1" noChangeArrowheads="1"/>
                          </pic:cNvPicPr>
                        </pic:nvPicPr>
                        <pic:blipFill>
                          <a:blip r:embed="rId79"/>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8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9" descr=""/>
                          <pic:cNvPicPr>
                            <a:picLocks noChangeAspect="1" noChangeArrowheads="1"/>
                          </pic:cNvPicPr>
                        </pic:nvPicPr>
                        <pic:blipFill>
                          <a:blip r:embed="rId80"/>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9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0" descr=""/>
                          <pic:cNvPicPr>
                            <a:picLocks noChangeAspect="1" noChangeArrowheads="1"/>
                          </pic:cNvPicPr>
                        </pic:nvPicPr>
                        <pic:blipFill>
                          <a:blip r:embed="rId81"/>
                          <a:stretch>
                            <a:fillRect/>
                          </a:stretch>
                        </pic:blipFill>
                        <pic:spPr bwMode="auto">
                          <a:xfrm>
                            <a:off x="0" y="0"/>
                            <a:ext cx="85725" cy="85725"/>
                          </a:xfrm>
                          <a:prstGeom prst="rect">
                            <a:avLst/>
                          </a:prstGeom>
                        </pic:spPr>
                      </pic:pic>
                    </a:graphicData>
                  </a:graphic>
                </wp:inline>
              </w:drawing>
            </w:r>
          </w:p>
          <w:p>
            <w:pPr>
              <w:pStyle w:val="TableContents"/>
              <w:bidi w:val="0"/>
              <w:spacing w:lineRule="auto" w:line="312" w:before="120" w:after="120"/>
              <w:jc w:val="left"/>
              <w:rPr/>
            </w:pPr>
            <w:r>
              <w:rPr>
                <w:rFonts w:ascii="Lato;sans-serif" w:hAnsi="Lato;sans-serif"/>
                <w:b w:val="false"/>
                <w:color w:val="000000"/>
                <w:sz w:val="19"/>
              </w:rPr>
              <w:t xml:space="preserve">Not independent: </w:t>
            </w:r>
            <w:r>
              <w:rPr>
                <w:rFonts w:ascii="Lato Bold;sans-serif" w:hAnsi="Lato Bold;sans-serif"/>
                <w:b/>
                <w:color w:val="000000"/>
                <w:sz w:val="19"/>
              </w:rPr>
              <w:t>1</w:t>
            </w:r>
            <w:r>
              <w:rPr>
                <w:rFonts w:ascii="Lato;sans-serif" w:hAnsi="Lato;sans-serif"/>
                <w:b w:val="false"/>
                <w:color w:val="000000"/>
                <w:sz w:val="19"/>
              </w:rPr>
              <w:br/>
            </w:r>
            <w:r>
              <w:rPr/>
              <w:drawing>
                <wp:inline distT="0" distB="0" distL="0" distR="0">
                  <wp:extent cx="85725" cy="85725"/>
                  <wp:effectExtent l="0" t="0" r="0" b="0"/>
                  <wp:docPr id="9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1" descr=""/>
                          <pic:cNvPicPr>
                            <a:picLocks noChangeAspect="1" noChangeArrowheads="1"/>
                          </pic:cNvPicPr>
                        </pic:nvPicPr>
                        <pic:blipFill>
                          <a:blip r:embed="rId82"/>
                          <a:stretch>
                            <a:fillRect/>
                          </a:stretch>
                        </pic:blipFill>
                        <pic:spPr bwMode="auto">
                          <a:xfrm>
                            <a:off x="0" y="0"/>
                            <a:ext cx="85725" cy="85725"/>
                          </a:xfrm>
                          <a:prstGeom prst="rect">
                            <a:avLst/>
                          </a:prstGeom>
                        </pic:spPr>
                      </pic:pic>
                    </a:graphicData>
                  </a:graphic>
                </wp:inline>
              </w:drawing>
            </w:r>
          </w:p>
        </w:tc>
      </w:tr>
      <w:tr>
        <w:trPr/>
        <w:tc>
          <w:tcPr>
            <w:tcW w:w="3359" w:type="dxa"/>
            <w:gridSpan w:val="6"/>
            <w:tcBorders>
              <w:right w:val="single" w:sz="4" w:space="0" w:color="BCBEC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left w:val="single" w:sz="4" w:space="0" w:color="BCBEC0"/>
              <w:right w:val="single" w:sz="4" w:space="0" w:color="BCBEC0"/>
            </w:tcBorders>
            <w:tcMar>
              <w:top w:w="0" w:type="dxa"/>
              <w:bottom w:w="0" w:type="dxa"/>
            </w:tcMar>
            <w:vAlign w:val="center"/>
          </w:tcPr>
          <w:p>
            <w:pPr>
              <w:pStyle w:val="Normal"/>
              <w:bidi w:val="0"/>
              <w:jc w:val="left"/>
              <w:rPr/>
            </w:pPr>
            <w:r>
              <w:rPr/>
            </w:r>
          </w:p>
        </w:tc>
        <w:tc>
          <w:tcPr>
            <w:tcW w:w="1559" w:type="dxa"/>
            <w:gridSpan w:val="3"/>
            <w:vMerge w:val="continue"/>
            <w:tcBorders>
              <w:left w:val="single" w:sz="4" w:space="0" w:color="BCBEC0"/>
              <w:right w:val="single" w:sz="4" w:space="0" w:color="BCBEC0"/>
            </w:tcBorders>
            <w:tcMar>
              <w:top w:w="0" w:type="dxa"/>
              <w:bottom w:w="0" w:type="dxa"/>
            </w:tcMar>
            <w:vAlign w:val="center"/>
          </w:tcPr>
          <w:p>
            <w:pPr>
              <w:pStyle w:val="Normal"/>
              <w:bidi w:val="0"/>
              <w:jc w:val="left"/>
              <w:rPr/>
            </w:pPr>
            <w:r>
              <w:rPr/>
            </w:r>
          </w:p>
        </w:tc>
        <w:tc>
          <w:tcPr>
            <w:tcW w:w="2429" w:type="dxa"/>
            <w:gridSpan w:val="3"/>
            <w:vMerge w:val="continue"/>
            <w:tcBorders>
              <w:left w:val="single" w:sz="4" w:space="0" w:color="BCBEC0"/>
            </w:tcBorders>
            <w:tcMar>
              <w:top w:w="0" w:type="dxa"/>
              <w:bottom w:w="0" w:type="dxa"/>
              <w:right w:w="0" w:type="dxa"/>
            </w:tcMar>
            <w:vAlign w:val="center"/>
          </w:tcPr>
          <w:p>
            <w:pPr>
              <w:pStyle w:val="Normal"/>
              <w:bidi w:val="0"/>
              <w:jc w:val="left"/>
              <w:rPr/>
            </w:pPr>
            <w:r>
              <w:rPr/>
            </w:r>
          </w:p>
        </w:tc>
      </w:tr>
      <w:tr>
        <w:trPr/>
        <w:tc>
          <w:tcPr>
            <w:tcW w:w="2145" w:type="dxa"/>
            <w:gridSpan w:val="3"/>
            <w:tcBorders/>
            <w:tcMar>
              <w:top w:w="0" w:type="dxa"/>
              <w:left w:w="0" w:type="dxa"/>
              <w:bottom w:w="0" w:type="dxa"/>
              <w:right w:w="0" w:type="dxa"/>
            </w:tcMar>
            <w:vAlign w:val="center"/>
          </w:tcPr>
          <w:p>
            <w:pPr>
              <w:pStyle w:val="TableContents"/>
              <w:bidi w:val="0"/>
              <w:spacing w:lineRule="auto" w:line="312" w:before="60" w:after="60"/>
              <w:jc w:val="left"/>
              <w:rPr/>
            </w:pPr>
            <w:r>
              <w:rPr>
                <w:rFonts w:ascii="Lato;sans-serif" w:hAnsi="Lato;sans-serif"/>
                <w:b w:val="false"/>
                <w:color w:val="000000"/>
                <w:sz w:val="19"/>
              </w:rPr>
              <w:t xml:space="preserve">Ethnically Diverse: </w:t>
            </w:r>
            <w:r>
              <w:rPr>
                <w:rFonts w:ascii="Lato Bold;sans-serif" w:hAnsi="Lato Bold;sans-serif"/>
                <w:b/>
                <w:color w:val="000000"/>
                <w:sz w:val="19"/>
              </w:rPr>
              <w:t>5</w:t>
            </w:r>
            <w:r>
              <w:rPr>
                <w:rFonts w:ascii="Lato;sans-serif" w:hAnsi="Lato;sans-serif"/>
                <w:b w:val="false"/>
                <w:color w:val="000000"/>
                <w:sz w:val="19"/>
              </w:rPr>
              <w:br/>
            </w:r>
            <w:r>
              <w:rPr/>
              <w:drawing>
                <wp:inline distT="0" distB="0" distL="0" distR="0">
                  <wp:extent cx="85725" cy="85725"/>
                  <wp:effectExtent l="0" t="0" r="0" b="0"/>
                  <wp:docPr id="9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2" descr=""/>
                          <pic:cNvPicPr>
                            <a:picLocks noChangeAspect="1" noChangeArrowheads="1"/>
                          </pic:cNvPicPr>
                        </pic:nvPicPr>
                        <pic:blipFill>
                          <a:blip r:embed="rId83"/>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9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3" descr=""/>
                          <pic:cNvPicPr>
                            <a:picLocks noChangeAspect="1" noChangeArrowheads="1"/>
                          </pic:cNvPicPr>
                        </pic:nvPicPr>
                        <pic:blipFill>
                          <a:blip r:embed="rId84"/>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9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4" descr=""/>
                          <pic:cNvPicPr>
                            <a:picLocks noChangeAspect="1" noChangeArrowheads="1"/>
                          </pic:cNvPicPr>
                        </pic:nvPicPr>
                        <pic:blipFill>
                          <a:blip r:embed="rId85"/>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9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5" descr=""/>
                          <pic:cNvPicPr>
                            <a:picLocks noChangeAspect="1" noChangeArrowheads="1"/>
                          </pic:cNvPicPr>
                        </pic:nvPicPr>
                        <pic:blipFill>
                          <a:blip r:embed="rId86"/>
                          <a:stretch>
                            <a:fillRect/>
                          </a:stretch>
                        </pic:blipFill>
                        <pic:spPr bwMode="auto">
                          <a:xfrm>
                            <a:off x="0" y="0"/>
                            <a:ext cx="85725" cy="85725"/>
                          </a:xfrm>
                          <a:prstGeom prst="rect">
                            <a:avLst/>
                          </a:prstGeom>
                        </pic:spPr>
                      </pic:pic>
                    </a:graphicData>
                  </a:graphic>
                </wp:inline>
              </w:drawing>
            </w:r>
            <w:r>
              <w:rPr>
                <w:color w:val="000000"/>
              </w:rPr>
              <w:t xml:space="preserve"> </w:t>
            </w:r>
            <w:r>
              <w:rPr/>
              <w:drawing>
                <wp:inline distT="0" distB="0" distL="0" distR="0">
                  <wp:extent cx="85725" cy="85725"/>
                  <wp:effectExtent l="0" t="0" r="0" b="0"/>
                  <wp:docPr id="9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6" descr=""/>
                          <pic:cNvPicPr>
                            <a:picLocks noChangeAspect="1" noChangeArrowheads="1"/>
                          </pic:cNvPicPr>
                        </pic:nvPicPr>
                        <pic:blipFill>
                          <a:blip r:embed="rId87"/>
                          <a:stretch>
                            <a:fillRect/>
                          </a:stretch>
                        </pic:blipFill>
                        <pic:spPr bwMode="auto">
                          <a:xfrm>
                            <a:off x="0" y="0"/>
                            <a:ext cx="85725" cy="85725"/>
                          </a:xfrm>
                          <a:prstGeom prst="rect">
                            <a:avLst/>
                          </a:prstGeom>
                        </pic:spPr>
                      </pic:pic>
                    </a:graphicData>
                  </a:graphic>
                </wp:inline>
              </w:drawing>
            </w:r>
          </w:p>
        </w:tc>
        <w:tc>
          <w:tcPr>
            <w:tcW w:w="1214" w:type="dxa"/>
            <w:gridSpan w:val="3"/>
            <w:tcBorders>
              <w:right w:val="single" w:sz="4" w:space="0" w:color="BCBEC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left w:val="single" w:sz="4" w:space="0" w:color="BCBEC0"/>
              <w:right w:val="single" w:sz="4" w:space="0" w:color="BCBEC0"/>
            </w:tcBorders>
            <w:tcMar>
              <w:top w:w="0" w:type="dxa"/>
              <w:bottom w:w="0" w:type="dxa"/>
            </w:tcMar>
            <w:vAlign w:val="center"/>
          </w:tcPr>
          <w:p>
            <w:pPr>
              <w:pStyle w:val="Normal"/>
              <w:bidi w:val="0"/>
              <w:jc w:val="left"/>
              <w:rPr/>
            </w:pPr>
            <w:r>
              <w:rPr/>
            </w:r>
          </w:p>
        </w:tc>
        <w:tc>
          <w:tcPr>
            <w:tcW w:w="1559" w:type="dxa"/>
            <w:gridSpan w:val="3"/>
            <w:vMerge w:val="continue"/>
            <w:tcBorders>
              <w:left w:val="single" w:sz="4" w:space="0" w:color="BCBEC0"/>
              <w:right w:val="single" w:sz="4" w:space="0" w:color="BCBEC0"/>
            </w:tcBorders>
            <w:tcMar>
              <w:top w:w="0" w:type="dxa"/>
              <w:bottom w:w="0" w:type="dxa"/>
            </w:tcMar>
            <w:vAlign w:val="center"/>
          </w:tcPr>
          <w:p>
            <w:pPr>
              <w:pStyle w:val="Normal"/>
              <w:bidi w:val="0"/>
              <w:jc w:val="left"/>
              <w:rPr/>
            </w:pPr>
            <w:r>
              <w:rPr/>
            </w:r>
          </w:p>
        </w:tc>
        <w:tc>
          <w:tcPr>
            <w:tcW w:w="2429" w:type="dxa"/>
            <w:gridSpan w:val="3"/>
            <w:vMerge w:val="continue"/>
            <w:tcBorders>
              <w:left w:val="single" w:sz="4" w:space="0" w:color="BCBEC0"/>
            </w:tcBorders>
            <w:tcMar>
              <w:top w:w="0" w:type="dxa"/>
              <w:bottom w:w="0" w:type="dxa"/>
              <w:right w:w="0" w:type="dxa"/>
            </w:tcMar>
            <w:vAlign w:val="center"/>
          </w:tcPr>
          <w:p>
            <w:pPr>
              <w:pStyle w:val="Normal"/>
              <w:bidi w:val="0"/>
              <w:jc w:val="left"/>
              <w:rPr/>
            </w:pPr>
            <w:r>
              <w:rPr/>
            </w:r>
          </w:p>
        </w:tc>
      </w:tr>
      <w:tr>
        <w:trPr/>
        <w:tc>
          <w:tcPr>
            <w:tcW w:w="3359" w:type="dxa"/>
            <w:gridSpan w:val="6"/>
            <w:tcBorders>
              <w:right w:val="single" w:sz="4" w:space="0" w:color="BCBEC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left w:val="single" w:sz="4" w:space="0" w:color="BCBEC0"/>
              <w:right w:val="single" w:sz="4" w:space="0" w:color="BCBEC0"/>
            </w:tcBorders>
            <w:tcMar>
              <w:top w:w="0" w:type="dxa"/>
              <w:bottom w:w="0" w:type="dxa"/>
            </w:tcMar>
            <w:vAlign w:val="center"/>
          </w:tcPr>
          <w:p>
            <w:pPr>
              <w:pStyle w:val="Normal"/>
              <w:bidi w:val="0"/>
              <w:jc w:val="left"/>
              <w:rPr/>
            </w:pPr>
            <w:r>
              <w:rPr/>
            </w:r>
          </w:p>
        </w:tc>
        <w:tc>
          <w:tcPr>
            <w:tcW w:w="1559" w:type="dxa"/>
            <w:gridSpan w:val="3"/>
            <w:vMerge w:val="continue"/>
            <w:tcBorders>
              <w:left w:val="single" w:sz="4" w:space="0" w:color="BCBEC0"/>
              <w:right w:val="single" w:sz="4" w:space="0" w:color="BCBEC0"/>
            </w:tcBorders>
            <w:tcMar>
              <w:top w:w="0" w:type="dxa"/>
              <w:bottom w:w="0" w:type="dxa"/>
            </w:tcMar>
            <w:vAlign w:val="center"/>
          </w:tcPr>
          <w:p>
            <w:pPr>
              <w:pStyle w:val="Normal"/>
              <w:bidi w:val="0"/>
              <w:jc w:val="left"/>
              <w:rPr/>
            </w:pPr>
            <w:r>
              <w:rPr/>
            </w:r>
          </w:p>
        </w:tc>
        <w:tc>
          <w:tcPr>
            <w:tcW w:w="2429" w:type="dxa"/>
            <w:gridSpan w:val="3"/>
            <w:vMerge w:val="continue"/>
            <w:tcBorders>
              <w:left w:val="single" w:sz="4" w:space="0" w:color="BCBEC0"/>
            </w:tcBorders>
            <w:tcMar>
              <w:top w:w="0" w:type="dxa"/>
              <w:bottom w:w="0" w:type="dxa"/>
              <w:right w:w="0" w:type="dxa"/>
            </w:tcMar>
            <w:vAlign w:val="center"/>
          </w:tcPr>
          <w:p>
            <w:pPr>
              <w:pStyle w:val="Normal"/>
              <w:bidi w:val="0"/>
              <w:jc w:val="left"/>
              <w:rPr/>
            </w:pPr>
            <w:r>
              <w:rPr/>
            </w:r>
          </w:p>
        </w:tc>
      </w:tr>
      <w:tr>
        <w:trPr/>
        <w:tc>
          <w:tcPr>
            <w:tcW w:w="2145"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Skills and Experience</w:t>
      </w:r>
    </w:p>
    <w:tbl>
      <w:tblPr>
        <w:tblW w:w="10205" w:type="dxa"/>
        <w:jc w:val="left"/>
        <w:tblInd w:w="0" w:type="dxa"/>
        <w:tblLayout w:type="fixed"/>
        <w:tblCellMar>
          <w:top w:w="28" w:type="dxa"/>
          <w:left w:w="28" w:type="dxa"/>
          <w:bottom w:w="28" w:type="dxa"/>
          <w:right w:w="28" w:type="dxa"/>
        </w:tblCellMar>
      </w:tblPr>
      <w:tblGrid>
        <w:gridCol w:w="818"/>
        <w:gridCol w:w="703"/>
        <w:gridCol w:w="677"/>
        <w:gridCol w:w="164"/>
        <w:gridCol w:w="164"/>
        <w:gridCol w:w="166"/>
        <w:gridCol w:w="180"/>
        <w:gridCol w:w="180"/>
        <w:gridCol w:w="181"/>
        <w:gridCol w:w="165"/>
        <w:gridCol w:w="165"/>
        <w:gridCol w:w="166"/>
        <w:gridCol w:w="190"/>
        <w:gridCol w:w="190"/>
        <w:gridCol w:w="191"/>
        <w:gridCol w:w="185"/>
        <w:gridCol w:w="185"/>
        <w:gridCol w:w="186"/>
        <w:gridCol w:w="160"/>
        <w:gridCol w:w="160"/>
        <w:gridCol w:w="161"/>
        <w:gridCol w:w="180"/>
        <w:gridCol w:w="180"/>
        <w:gridCol w:w="181"/>
        <w:gridCol w:w="170"/>
        <w:gridCol w:w="170"/>
        <w:gridCol w:w="171"/>
        <w:gridCol w:w="185"/>
        <w:gridCol w:w="185"/>
        <w:gridCol w:w="186"/>
        <w:gridCol w:w="200"/>
        <w:gridCol w:w="200"/>
        <w:gridCol w:w="201"/>
        <w:gridCol w:w="235"/>
        <w:gridCol w:w="235"/>
        <w:gridCol w:w="236"/>
        <w:gridCol w:w="145"/>
        <w:gridCol w:w="145"/>
        <w:gridCol w:w="146"/>
        <w:gridCol w:w="210"/>
        <w:gridCol w:w="210"/>
        <w:gridCol w:w="211"/>
        <w:gridCol w:w="256"/>
        <w:gridCol w:w="256"/>
        <w:gridCol w:w="374"/>
      </w:tblGrid>
      <w:tr>
        <w:trPr/>
        <w:tc>
          <w:tcPr>
            <w:tcW w:w="8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6"/>
              </w:rPr>
            </w:pPr>
            <w:r>
              <w:rPr>
                <w:rFonts w:ascii="Lato Bold;sans-serif" w:hAnsi="Lato Bold;sans-serif"/>
                <w:b/>
                <w:color w:val="000000"/>
                <w:sz w:val="16"/>
              </w:rPr>
              <w:t>Experience</w:t>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center"/>
              <w:rPr>
                <w:rFonts w:ascii="Lato Bold;sans-serif" w:hAnsi="Lato Bold;sans-serif"/>
                <w:b w:val="false"/>
                <w:color w:val="000000"/>
                <w:sz w:val="12"/>
              </w:rPr>
            </w:pPr>
            <w:r>
              <w:rPr>
                <w:rFonts w:ascii="Lato Bold;sans-serif" w:hAnsi="Lato Bold;sans-serif"/>
                <w:b w:val="false"/>
                <w:color w:val="000000"/>
                <w:sz w:val="12"/>
              </w:rPr>
              <w:t>Hsu</w:t>
            </w:r>
          </w:p>
          <w:p>
            <w:pPr>
              <w:pStyle w:val="TableContents"/>
              <w:bidi w:val="0"/>
              <w:spacing w:lineRule="auto" w:line="312" w:before="0" w:after="0"/>
              <w:jc w:val="center"/>
              <w:rPr>
                <w:rFonts w:ascii="Lato Bold;sans-serif" w:hAnsi="Lato Bold;sans-serif"/>
                <w:b w:val="false"/>
                <w:color w:val="000000"/>
                <w:sz w:val="12"/>
              </w:rPr>
            </w:pPr>
            <w:r>
              <w:rPr>
                <w:rFonts w:ascii="Lato Bold;sans-serif" w:hAnsi="Lato Bold;sans-serif"/>
                <w:b w:val="false"/>
                <w:color w:val="000000"/>
                <w:sz w:val="12"/>
              </w:rPr>
              <w:t>(Chair)</w:t>
            </w:r>
          </w:p>
        </w:tc>
        <w:tc>
          <w:tcPr>
            <w:tcW w:w="541" w:type="dxa"/>
            <w:gridSpan w:val="3"/>
            <w:tcBorders/>
            <w:shd w:fill="CCDAF4" w:val="clear"/>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val="false"/>
                <w:color w:val="000000"/>
                <w:sz w:val="12"/>
              </w:rPr>
            </w:pPr>
            <w:r>
              <w:rPr>
                <w:rFonts w:ascii="Lato Bold;sans-serif" w:hAnsi="Lato Bold;sans-serif"/>
                <w:b w:val="false"/>
                <w:color w:val="000000"/>
                <w:sz w:val="12"/>
              </w:rPr>
              <w:t>Burwell</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val="false"/>
                <w:color w:val="000000"/>
                <w:sz w:val="12"/>
              </w:rPr>
            </w:pPr>
            <w:r>
              <w:rPr>
                <w:rFonts w:ascii="Lato Bold;sans-serif" w:hAnsi="Lato Bold;sans-serif"/>
                <w:b w:val="false"/>
                <w:color w:val="000000"/>
                <w:sz w:val="12"/>
              </w:rPr>
              <w:t>Culver</w:t>
            </w:r>
          </w:p>
        </w:tc>
        <w:tc>
          <w:tcPr>
            <w:tcW w:w="571" w:type="dxa"/>
            <w:gridSpan w:val="3"/>
            <w:tcBorders/>
            <w:shd w:fill="CCDAF4" w:val="clear"/>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val="false"/>
                <w:color w:val="000000"/>
                <w:sz w:val="12"/>
              </w:rPr>
            </w:pPr>
            <w:r>
              <w:rPr>
                <w:rFonts w:ascii="Lato Bold;sans-serif" w:hAnsi="Lato Bold;sans-serif"/>
                <w:b w:val="false"/>
                <w:color w:val="000000"/>
                <w:sz w:val="12"/>
              </w:rPr>
              <w:t>Jemison</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val="false"/>
                <w:color w:val="000000"/>
                <w:sz w:val="12"/>
              </w:rPr>
            </w:pPr>
            <w:r>
              <w:rPr>
                <w:rFonts w:ascii="Lato Bold;sans-serif" w:hAnsi="Lato Bold;sans-serif"/>
                <w:b w:val="false"/>
                <w:color w:val="000000"/>
                <w:sz w:val="12"/>
              </w:rPr>
              <w:t>Khanna</w:t>
            </w:r>
          </w:p>
        </w:tc>
        <w:tc>
          <w:tcPr>
            <w:tcW w:w="481" w:type="dxa"/>
            <w:gridSpan w:val="3"/>
            <w:tcBorders/>
            <w:shd w:fill="CCDAF4" w:val="clear"/>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val="false"/>
                <w:color w:val="000000"/>
                <w:sz w:val="12"/>
              </w:rPr>
            </w:pPr>
            <w:r>
              <w:rPr>
                <w:rFonts w:ascii="Lato Bold;sans-serif" w:hAnsi="Lato Bold;sans-serif"/>
                <w:b w:val="false"/>
                <w:color w:val="000000"/>
                <w:sz w:val="12"/>
              </w:rPr>
              <w:t>Maclin</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val="false"/>
                <w:color w:val="000000"/>
                <w:sz w:val="12"/>
              </w:rPr>
            </w:pPr>
            <w:r>
              <w:rPr>
                <w:rFonts w:ascii="Lato Bold;sans-serif" w:hAnsi="Lato Bold;sans-serif"/>
                <w:b w:val="false"/>
                <w:color w:val="000000"/>
                <w:sz w:val="12"/>
              </w:rPr>
              <w:t>Mahlan</w:t>
            </w:r>
          </w:p>
        </w:tc>
        <w:tc>
          <w:tcPr>
            <w:tcW w:w="511" w:type="dxa"/>
            <w:gridSpan w:val="3"/>
            <w:tcBorders/>
            <w:shd w:fill="CCDAF4" w:val="clear"/>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val="false"/>
                <w:color w:val="000000"/>
                <w:sz w:val="12"/>
              </w:rPr>
            </w:pPr>
            <w:r>
              <w:rPr>
                <w:rFonts w:ascii="Lato Bold;sans-serif" w:hAnsi="Lato Bold;sans-serif"/>
                <w:b w:val="false"/>
                <w:color w:val="000000"/>
                <w:sz w:val="12"/>
              </w:rPr>
              <w:t>McCoy</w:t>
            </w:r>
          </w:p>
        </w:tc>
        <w:tc>
          <w:tcPr>
            <w:tcW w:w="55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val="false"/>
                <w:color w:val="000000"/>
                <w:sz w:val="12"/>
              </w:rPr>
            </w:pPr>
            <w:r>
              <w:rPr>
                <w:rFonts w:ascii="Lato Bold;sans-serif" w:hAnsi="Lato Bold;sans-serif"/>
                <w:b w:val="false"/>
                <w:color w:val="000000"/>
                <w:sz w:val="12"/>
              </w:rPr>
              <w:t>Quarles</w:t>
            </w:r>
          </w:p>
        </w:tc>
        <w:tc>
          <w:tcPr>
            <w:tcW w:w="601" w:type="dxa"/>
            <w:gridSpan w:val="3"/>
            <w:tcBorders/>
            <w:shd w:fill="CCDAF4" w:val="clear"/>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val="false"/>
                <w:color w:val="000000"/>
                <w:sz w:val="12"/>
              </w:rPr>
            </w:pPr>
            <w:r>
              <w:rPr>
                <w:rFonts w:ascii="Lato Bold;sans-serif" w:hAnsi="Lato Bold;sans-serif"/>
                <w:b w:val="false"/>
                <w:color w:val="000000"/>
                <w:sz w:val="12"/>
              </w:rPr>
              <w:t>Ramirez</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val="false"/>
                <w:color w:val="000000"/>
                <w:sz w:val="12"/>
              </w:rPr>
            </w:pPr>
            <w:r>
              <w:rPr>
                <w:rFonts w:ascii="Lato Bold;sans-serif" w:hAnsi="Lato Bold;sans-serif"/>
                <w:b w:val="false"/>
                <w:color w:val="000000"/>
                <w:sz w:val="12"/>
              </w:rPr>
              <w:t>Romanelli</w:t>
            </w:r>
          </w:p>
        </w:tc>
        <w:tc>
          <w:tcPr>
            <w:tcW w:w="436" w:type="dxa"/>
            <w:gridSpan w:val="3"/>
            <w:tcBorders/>
            <w:shd w:fill="CCDAF4" w:val="clear"/>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val="false"/>
                <w:color w:val="000000"/>
                <w:sz w:val="12"/>
              </w:rPr>
            </w:pPr>
            <w:r>
              <w:rPr>
                <w:rFonts w:ascii="Lato Bold;sans-serif" w:hAnsi="Lato Bold;sans-serif"/>
                <w:b w:val="false"/>
                <w:color w:val="000000"/>
                <w:sz w:val="12"/>
              </w:rPr>
              <w:t>Shive</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val="false"/>
                <w:color w:val="000000"/>
                <w:sz w:val="12"/>
              </w:rPr>
            </w:pPr>
            <w:r>
              <w:rPr>
                <w:rFonts w:ascii="Lato Bold;sans-serif" w:hAnsi="Lato Bold;sans-serif"/>
                <w:b w:val="false"/>
                <w:color w:val="000000"/>
                <w:sz w:val="12"/>
              </w:rPr>
              <w:t>Smucker</w:t>
            </w:r>
          </w:p>
        </w:tc>
        <w:tc>
          <w:tcPr>
            <w:tcW w:w="886" w:type="dxa"/>
            <w:gridSpan w:val="3"/>
            <w:tcBorders/>
            <w:shd w:fill="CCDAF4" w:val="clear"/>
            <w:tcMar>
              <w:top w:w="0" w:type="dxa"/>
              <w:left w:w="0" w:type="dxa"/>
              <w:bottom w:w="0" w:type="dxa"/>
              <w:right w:w="0" w:type="dxa"/>
            </w:tcMar>
            <w:vAlign w:val="center"/>
          </w:tcPr>
          <w:p>
            <w:pPr>
              <w:pStyle w:val="TableContents"/>
              <w:bidi w:val="0"/>
              <w:spacing w:lineRule="auto" w:line="312" w:before="0" w:after="283"/>
              <w:ind w:left="0" w:right="0" w:firstLine="90"/>
              <w:jc w:val="center"/>
              <w:rPr>
                <w:rFonts w:ascii="Lato Bold;sans-serif" w:hAnsi="Lato Bold;sans-serif"/>
                <w:b w:val="false"/>
                <w:color w:val="000000"/>
                <w:sz w:val="12"/>
              </w:rPr>
            </w:pPr>
            <w:r>
              <w:rPr>
                <w:rFonts w:ascii="Lato Bold;sans-serif" w:hAnsi="Lato Bold;sans-serif"/>
                <w:b w:val="false"/>
                <w:color w:val="000000"/>
                <w:sz w:val="12"/>
              </w:rPr>
              <w:t>TOTALS</w:t>
            </w:r>
          </w:p>
        </w:tc>
      </w:tr>
      <w:tr>
        <w:trPr/>
        <w:tc>
          <w:tcPr>
            <w:tcW w:w="2198"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Consumer Products</w:t>
            </w:r>
          </w:p>
        </w:tc>
        <w:tc>
          <w:tcPr>
            <w:tcW w:w="494"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8" w:space="0" w:color="0046C8"/>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71" w:type="dxa"/>
            <w:gridSpan w:val="3"/>
            <w:tcBorders>
              <w:top w:val="single" w:sz="8" w:space="0" w:color="0046C8"/>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81" w:type="dxa"/>
            <w:gridSpan w:val="3"/>
            <w:tcBorders>
              <w:top w:val="single" w:sz="8" w:space="0" w:color="0046C8"/>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11" w:type="dxa"/>
            <w:gridSpan w:val="3"/>
            <w:tcBorders>
              <w:top w:val="single" w:sz="8" w:space="0" w:color="0046C8"/>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5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01" w:type="dxa"/>
            <w:gridSpan w:val="3"/>
            <w:tcBorders>
              <w:top w:val="single" w:sz="8" w:space="0" w:color="0046C8"/>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706"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36" w:type="dxa"/>
            <w:gridSpan w:val="3"/>
            <w:tcBorders>
              <w:top w:val="single" w:sz="8" w:space="0" w:color="0046C8"/>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886" w:type="dxa"/>
            <w:gridSpan w:val="3"/>
            <w:tcBorders>
              <w:top w:val="single" w:sz="8" w:space="0" w:color="0046C8"/>
            </w:tcBorders>
            <w:shd w:fill="CCDAF4" w:val="clear"/>
            <w:tcMar>
              <w:top w:w="30" w:type="dxa"/>
              <w:left w:w="0" w:type="dxa"/>
              <w:bottom w:w="0" w:type="dxa"/>
              <w:right w:w="0" w:type="dxa"/>
            </w:tcMar>
            <w:vAlign w:val="center"/>
          </w:tcPr>
          <w:p>
            <w:pPr>
              <w:pStyle w:val="TableContents"/>
              <w:bidi w:val="0"/>
              <w:spacing w:lineRule="auto" w:line="312" w:before="0" w:after="283"/>
              <w:ind w:left="0" w:right="0" w:firstLine="90"/>
              <w:jc w:val="center"/>
              <w:rPr>
                <w:rFonts w:ascii="Gilroy Regular;sans-serif" w:hAnsi="Gilroy Regular;sans-serif"/>
                <w:b w:val="false"/>
                <w:color w:val="0046C8"/>
                <w:sz w:val="15"/>
              </w:rPr>
            </w:pPr>
            <w:r>
              <w:rPr>
                <w:rFonts w:ascii="Gilroy Regular;sans-serif" w:hAnsi="Gilroy Regular;sans-serif"/>
                <w:b w:val="false"/>
                <w:color w:val="0046C8"/>
                <w:sz w:val="15"/>
              </w:rPr>
              <w:t>10</w:t>
            </w:r>
          </w:p>
        </w:tc>
      </w:tr>
      <w:tr>
        <w:trPr/>
        <w:tc>
          <w:tcPr>
            <w:tcW w:w="21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International</w:t>
            </w:r>
          </w:p>
        </w:tc>
        <w:tc>
          <w:tcPr>
            <w:tcW w:w="49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9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7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5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8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1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0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70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3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88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ind w:left="0" w:right="0" w:firstLine="90"/>
              <w:jc w:val="center"/>
              <w:rPr>
                <w:rFonts w:ascii="Gilroy Regular;sans-serif" w:hAnsi="Gilroy Regular;sans-serif"/>
                <w:b w:val="false"/>
                <w:color w:val="0046C8"/>
                <w:sz w:val="15"/>
              </w:rPr>
            </w:pPr>
            <w:r>
              <w:rPr>
                <w:rFonts w:ascii="Gilroy Regular;sans-serif" w:hAnsi="Gilroy Regular;sans-serif"/>
                <w:b w:val="false"/>
                <w:color w:val="0046C8"/>
                <w:sz w:val="15"/>
              </w:rPr>
              <w:t>11</w:t>
            </w:r>
          </w:p>
        </w:tc>
      </w:tr>
      <w:tr>
        <w:trPr/>
        <w:tc>
          <w:tcPr>
            <w:tcW w:w="21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Financial Expertise</w:t>
            </w:r>
          </w:p>
        </w:tc>
        <w:tc>
          <w:tcPr>
            <w:tcW w:w="49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9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7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1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0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3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3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88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ind w:left="0" w:right="0" w:firstLine="90"/>
              <w:jc w:val="center"/>
              <w:rPr>
                <w:rFonts w:ascii="Gilroy Regular;sans-serif" w:hAnsi="Gilroy Regular;sans-serif"/>
                <w:b w:val="false"/>
                <w:color w:val="0046C8"/>
                <w:sz w:val="15"/>
              </w:rPr>
            </w:pPr>
            <w:r>
              <w:rPr>
                <w:rFonts w:ascii="Gilroy Regular;sans-serif" w:hAnsi="Gilroy Regular;sans-serif"/>
                <w:b w:val="false"/>
                <w:color w:val="0046C8"/>
                <w:sz w:val="15"/>
              </w:rPr>
              <w:t>11</w:t>
            </w:r>
          </w:p>
        </w:tc>
      </w:tr>
      <w:tr>
        <w:trPr/>
        <w:tc>
          <w:tcPr>
            <w:tcW w:w="21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CEO Leadership</w:t>
            </w:r>
          </w:p>
        </w:tc>
        <w:tc>
          <w:tcPr>
            <w:tcW w:w="49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96"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1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0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706"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3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88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ind w:left="0" w:right="0" w:firstLine="90"/>
              <w:jc w:val="center"/>
              <w:rPr>
                <w:rFonts w:ascii="Gilroy Regular;sans-serif" w:hAnsi="Gilroy Regular;sans-serif"/>
                <w:b w:val="false"/>
                <w:color w:val="0046C8"/>
                <w:sz w:val="15"/>
              </w:rPr>
            </w:pPr>
            <w:r>
              <w:rPr>
                <w:rFonts w:ascii="Gilroy Regular;sans-serif" w:hAnsi="Gilroy Regular;sans-serif"/>
                <w:b w:val="false"/>
                <w:color w:val="0046C8"/>
                <w:sz w:val="15"/>
              </w:rPr>
              <w:t>8</w:t>
            </w:r>
          </w:p>
        </w:tc>
      </w:tr>
      <w:tr>
        <w:trPr/>
        <w:tc>
          <w:tcPr>
            <w:tcW w:w="21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Digital</w:t>
            </w:r>
          </w:p>
        </w:tc>
        <w:tc>
          <w:tcPr>
            <w:tcW w:w="49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7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8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0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3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31"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ind w:left="0" w:right="0" w:firstLine="90"/>
              <w:jc w:val="center"/>
              <w:rPr>
                <w:rFonts w:ascii="Gilroy Regular;sans-serif" w:hAnsi="Gilroy Regular;sans-serif"/>
                <w:b w:val="false"/>
                <w:color w:val="0046C8"/>
                <w:sz w:val="15"/>
              </w:rPr>
            </w:pPr>
            <w:r>
              <w:rPr>
                <w:rFonts w:ascii="Gilroy Regular;sans-serif" w:hAnsi="Gilroy Regular;sans-serif"/>
                <w:b w:val="false"/>
                <w:color w:val="0046C8"/>
                <w:sz w:val="15"/>
              </w:rPr>
              <w:t>7</w:t>
            </w:r>
          </w:p>
        </w:tc>
      </w:tr>
      <w:tr>
        <w:trPr/>
        <w:tc>
          <w:tcPr>
            <w:tcW w:w="21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Marketing</w:t>
            </w:r>
          </w:p>
        </w:tc>
        <w:tc>
          <w:tcPr>
            <w:tcW w:w="49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7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8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1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0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70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3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3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88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ind w:left="0" w:right="0" w:firstLine="90"/>
              <w:jc w:val="center"/>
              <w:rPr>
                <w:rFonts w:ascii="Gilroy Regular;sans-serif" w:hAnsi="Gilroy Regular;sans-serif"/>
                <w:b w:val="false"/>
                <w:color w:val="0046C8"/>
                <w:sz w:val="15"/>
              </w:rPr>
            </w:pPr>
            <w:r>
              <w:rPr>
                <w:rFonts w:ascii="Gilroy Regular;sans-serif" w:hAnsi="Gilroy Regular;sans-serif"/>
                <w:b w:val="false"/>
                <w:color w:val="0046C8"/>
                <w:sz w:val="15"/>
              </w:rPr>
              <w:t>11</w:t>
            </w:r>
          </w:p>
        </w:tc>
      </w:tr>
      <w:tr>
        <w:trPr/>
        <w:tc>
          <w:tcPr>
            <w:tcW w:w="21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Innovation/R&amp;D</w:t>
            </w:r>
          </w:p>
        </w:tc>
        <w:tc>
          <w:tcPr>
            <w:tcW w:w="49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5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8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0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70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3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88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ind w:left="0" w:right="0" w:firstLine="90"/>
              <w:jc w:val="center"/>
              <w:rPr>
                <w:rFonts w:ascii="Gilroy Regular;sans-serif" w:hAnsi="Gilroy Regular;sans-serif"/>
                <w:b w:val="false"/>
                <w:color w:val="0046C8"/>
                <w:sz w:val="15"/>
              </w:rPr>
            </w:pPr>
            <w:r>
              <w:rPr>
                <w:rFonts w:ascii="Gilroy Regular;sans-serif" w:hAnsi="Gilroy Regular;sans-serif"/>
                <w:b w:val="false"/>
                <w:color w:val="0046C8"/>
                <w:sz w:val="15"/>
              </w:rPr>
              <w:t>8</w:t>
            </w:r>
          </w:p>
        </w:tc>
      </w:tr>
      <w:tr>
        <w:trPr/>
        <w:tc>
          <w:tcPr>
            <w:tcW w:w="21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Cybersecurity</w:t>
            </w:r>
          </w:p>
        </w:tc>
        <w:tc>
          <w:tcPr>
            <w:tcW w:w="49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9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7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0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ind w:left="0" w:right="0" w:firstLine="90"/>
              <w:jc w:val="center"/>
              <w:rPr>
                <w:rFonts w:ascii="Gilroy Regular;sans-serif" w:hAnsi="Gilroy Regular;sans-serif"/>
                <w:b w:val="false"/>
                <w:color w:val="0046C8"/>
                <w:sz w:val="15"/>
              </w:rPr>
            </w:pPr>
            <w:r>
              <w:rPr>
                <w:rFonts w:ascii="Gilroy Regular;sans-serif" w:hAnsi="Gilroy Regular;sans-serif"/>
                <w:b w:val="false"/>
                <w:color w:val="0046C8"/>
                <w:sz w:val="15"/>
              </w:rPr>
              <w:t>4</w:t>
            </w:r>
          </w:p>
        </w:tc>
      </w:tr>
      <w:tr>
        <w:trPr/>
        <w:tc>
          <w:tcPr>
            <w:tcW w:w="21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Social Responsibility</w:t>
            </w:r>
          </w:p>
        </w:tc>
        <w:tc>
          <w:tcPr>
            <w:tcW w:w="49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9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7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5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8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88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ind w:left="0" w:right="0" w:firstLine="90"/>
              <w:jc w:val="center"/>
              <w:rPr>
                <w:rFonts w:ascii="Gilroy Regular;sans-serif" w:hAnsi="Gilroy Regular;sans-serif"/>
                <w:b w:val="false"/>
                <w:color w:val="0046C8"/>
                <w:sz w:val="15"/>
              </w:rPr>
            </w:pPr>
            <w:r>
              <w:rPr>
                <w:rFonts w:ascii="Gilroy Regular;sans-serif" w:hAnsi="Gilroy Regular;sans-serif"/>
                <w:b w:val="false"/>
                <w:color w:val="0046C8"/>
                <w:sz w:val="15"/>
              </w:rPr>
              <w:t>6</w:t>
            </w:r>
          </w:p>
        </w:tc>
      </w:tr>
      <w:tr>
        <w:trPr/>
        <w:tc>
          <w:tcPr>
            <w:tcW w:w="21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M&amp;A</w:t>
            </w:r>
          </w:p>
        </w:tc>
        <w:tc>
          <w:tcPr>
            <w:tcW w:w="49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7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8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1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0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70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3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3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88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ind w:left="0" w:right="0" w:firstLine="90"/>
              <w:jc w:val="center"/>
              <w:rPr>
                <w:rFonts w:ascii="Gilroy Regular;sans-serif" w:hAnsi="Gilroy Regular;sans-serif"/>
                <w:b w:val="false"/>
                <w:color w:val="0046C8"/>
                <w:sz w:val="15"/>
              </w:rPr>
            </w:pPr>
            <w:r>
              <w:rPr>
                <w:rFonts w:ascii="Gilroy Regular;sans-serif" w:hAnsi="Gilroy Regular;sans-serif"/>
                <w:b w:val="false"/>
                <w:color w:val="0046C8"/>
                <w:sz w:val="15"/>
              </w:rPr>
              <w:t>11</w:t>
            </w:r>
          </w:p>
        </w:tc>
      </w:tr>
      <w:tr>
        <w:trPr/>
        <w:tc>
          <w:tcPr>
            <w:tcW w:w="21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Strategy &amp; Transformation</w:t>
            </w:r>
          </w:p>
        </w:tc>
        <w:tc>
          <w:tcPr>
            <w:tcW w:w="49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9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7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5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8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1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0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70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3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3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88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ind w:left="0" w:right="0" w:firstLine="90"/>
              <w:jc w:val="center"/>
              <w:rPr>
                <w:rFonts w:ascii="Gilroy Regular;sans-serif" w:hAnsi="Gilroy Regular;sans-serif"/>
                <w:b w:val="false"/>
                <w:color w:val="0046C8"/>
                <w:sz w:val="15"/>
              </w:rPr>
            </w:pPr>
            <w:r>
              <w:rPr>
                <w:rFonts w:ascii="Gilroy Regular;sans-serif" w:hAnsi="Gilroy Regular;sans-serif"/>
                <w:b w:val="false"/>
                <w:color w:val="0046C8"/>
                <w:sz w:val="15"/>
              </w:rPr>
              <w:t>13</w:t>
            </w:r>
          </w:p>
        </w:tc>
      </w:tr>
      <w:tr>
        <w:trPr/>
        <w:tc>
          <w:tcPr>
            <w:tcW w:w="21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Human Capital</w:t>
            </w:r>
          </w:p>
        </w:tc>
        <w:tc>
          <w:tcPr>
            <w:tcW w:w="49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9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7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5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8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4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1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5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0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70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43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63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Wingdings;sans-serif" w:hAnsi="Wingdings;sans-serif"/>
                <w:b w:val="false"/>
                <w:color w:val="0046C8"/>
                <w:sz w:val="18"/>
              </w:rPr>
            </w:pPr>
            <w:r>
              <w:rPr>
                <w:rFonts w:ascii="Wingdings;sans-serif" w:hAnsi="Wingdings;sans-serif"/>
                <w:b w:val="false"/>
                <w:color w:val="0046C8"/>
                <w:sz w:val="18"/>
              </w:rPr>
              <w:t>l</w:t>
            </w:r>
          </w:p>
        </w:tc>
        <w:tc>
          <w:tcPr>
            <w:tcW w:w="88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Gilroy Regular;sans-serif" w:hAnsi="Gilroy Regular;sans-serif"/>
                <w:b w:val="false"/>
                <w:color w:val="0046C8"/>
                <w:sz w:val="15"/>
              </w:rPr>
            </w:pPr>
            <w:r>
              <w:rPr>
                <w:rFonts w:ascii="Gilroy Regular;sans-serif" w:hAnsi="Gilroy Regular;sans-serif"/>
                <w:b w:val="false"/>
                <w:color w:val="0046C8"/>
                <w:sz w:val="15"/>
              </w:rPr>
              <w:t>13</w:t>
            </w:r>
          </w:p>
        </w:tc>
      </w:tr>
      <w:tr>
        <w:trPr/>
        <w:tc>
          <w:tcPr>
            <w:tcW w:w="2198"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6"/>
              </w:rPr>
            </w:pPr>
            <w:r>
              <w:rPr>
                <w:rFonts w:ascii="Lato Bold;sans-serif" w:hAnsi="Lato Bold;sans-serif"/>
                <w:b/>
                <w:color w:val="000000"/>
                <w:sz w:val="16"/>
              </w:rPr>
              <w:t>Demographic Background</w:t>
            </w:r>
          </w:p>
        </w:tc>
        <w:tc>
          <w:tcPr>
            <w:tcW w:w="49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198"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Tenure (years)</w:t>
            </w:r>
          </w:p>
        </w:tc>
        <w:tc>
          <w:tcPr>
            <w:tcW w:w="494"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8</w:t>
            </w:r>
          </w:p>
        </w:tc>
        <w:tc>
          <w:tcPr>
            <w:tcW w:w="541" w:type="dxa"/>
            <w:gridSpan w:val="3"/>
            <w:tcBorders>
              <w:top w:val="single" w:sz="8" w:space="0" w:color="0046C8"/>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3</w:t>
            </w:r>
          </w:p>
        </w:tc>
        <w:tc>
          <w:tcPr>
            <w:tcW w:w="496"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4</w:t>
            </w:r>
          </w:p>
        </w:tc>
        <w:tc>
          <w:tcPr>
            <w:tcW w:w="571" w:type="dxa"/>
            <w:gridSpan w:val="3"/>
            <w:tcBorders>
              <w:top w:val="single" w:sz="8" w:space="0" w:color="0046C8"/>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22</w:t>
            </w:r>
          </w:p>
        </w:tc>
        <w:tc>
          <w:tcPr>
            <w:tcW w:w="556"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1</w:t>
            </w:r>
          </w:p>
        </w:tc>
        <w:tc>
          <w:tcPr>
            <w:tcW w:w="481" w:type="dxa"/>
            <w:gridSpan w:val="3"/>
            <w:tcBorders>
              <w:top w:val="single" w:sz="8" w:space="0" w:color="0046C8"/>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6</w:t>
            </w:r>
          </w:p>
        </w:tc>
        <w:tc>
          <w:tcPr>
            <w:tcW w:w="541"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3</w:t>
            </w:r>
          </w:p>
        </w:tc>
        <w:tc>
          <w:tcPr>
            <w:tcW w:w="511" w:type="dxa"/>
            <w:gridSpan w:val="3"/>
            <w:tcBorders>
              <w:top w:val="single" w:sz="8" w:space="0" w:color="0046C8"/>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6</w:t>
            </w:r>
          </w:p>
        </w:tc>
        <w:tc>
          <w:tcPr>
            <w:tcW w:w="55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8</w:t>
            </w:r>
          </w:p>
        </w:tc>
        <w:tc>
          <w:tcPr>
            <w:tcW w:w="601" w:type="dxa"/>
            <w:gridSpan w:val="3"/>
            <w:tcBorders>
              <w:top w:val="single" w:sz="8" w:space="0" w:color="0046C8"/>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3</w:t>
            </w:r>
          </w:p>
        </w:tc>
        <w:tc>
          <w:tcPr>
            <w:tcW w:w="706"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0</w:t>
            </w:r>
          </w:p>
        </w:tc>
        <w:tc>
          <w:tcPr>
            <w:tcW w:w="436" w:type="dxa"/>
            <w:gridSpan w:val="3"/>
            <w:tcBorders>
              <w:top w:val="single" w:sz="8" w:space="0" w:color="0046C8"/>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6</w:t>
            </w:r>
          </w:p>
        </w:tc>
        <w:tc>
          <w:tcPr>
            <w:tcW w:w="631"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5</w:t>
            </w:r>
          </w:p>
        </w:tc>
        <w:tc>
          <w:tcPr>
            <w:tcW w:w="886" w:type="dxa"/>
            <w:gridSpan w:val="3"/>
            <w:tcBorders>
              <w:top w:val="single" w:sz="8" w:space="0" w:color="0046C8"/>
            </w:tcBorders>
            <w:shd w:fill="CCDAF4" w:val="clear"/>
            <w:tcMar>
              <w:top w:w="30" w:type="dxa"/>
              <w:left w:w="0" w:type="dxa"/>
              <w:bottom w:w="0" w:type="dxa"/>
              <w:right w:w="0" w:type="dxa"/>
            </w:tcMar>
            <w:vAlign w:val="center"/>
          </w:tcPr>
          <w:p>
            <w:pPr>
              <w:pStyle w:val="TableContents"/>
              <w:bidi w:val="0"/>
              <w:spacing w:lineRule="auto" w:line="312" w:before="0" w:after="0"/>
              <w:jc w:val="center"/>
              <w:rPr>
                <w:rFonts w:ascii="Lato Bold;sans-serif" w:hAnsi="Lato Bold;sans-serif"/>
                <w:b/>
                <w:color w:val="0046C8"/>
                <w:sz w:val="15"/>
              </w:rPr>
            </w:pPr>
            <w:r>
              <w:rPr>
                <w:rFonts w:ascii="Lato Bold;sans-serif" w:hAnsi="Lato Bold;sans-serif"/>
                <w:b/>
                <w:color w:val="0046C8"/>
                <w:sz w:val="15"/>
              </w:rPr>
              <w:t>Median =</w:t>
            </w:r>
          </w:p>
          <w:p>
            <w:pPr>
              <w:pStyle w:val="TableContents"/>
              <w:bidi w:val="0"/>
              <w:spacing w:lineRule="auto" w:line="312" w:before="0" w:after="0"/>
              <w:ind w:left="0" w:right="0" w:firstLine="90"/>
              <w:jc w:val="center"/>
              <w:rPr>
                <w:rFonts w:ascii="Lato Bold;sans-serif" w:hAnsi="Lato Bold;sans-serif"/>
                <w:b/>
                <w:color w:val="0046C8"/>
                <w:sz w:val="15"/>
              </w:rPr>
            </w:pPr>
            <w:r>
              <w:rPr>
                <w:rFonts w:ascii="Lato Bold;sans-serif" w:hAnsi="Lato Bold;sans-serif"/>
                <w:b/>
                <w:color w:val="0046C8"/>
                <w:sz w:val="15"/>
              </w:rPr>
              <w:t>5.0</w:t>
            </w:r>
          </w:p>
        </w:tc>
      </w:tr>
      <w:tr>
        <w:trPr/>
        <w:tc>
          <w:tcPr>
            <w:tcW w:w="219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Gender</w:t>
            </w:r>
          </w:p>
        </w:tc>
        <w:tc>
          <w:tcPr>
            <w:tcW w:w="49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M</w:t>
            </w:r>
          </w:p>
        </w:tc>
        <w:tc>
          <w:tcPr>
            <w:tcW w:w="54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F</w:t>
            </w:r>
          </w:p>
        </w:tc>
        <w:tc>
          <w:tcPr>
            <w:tcW w:w="49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M</w:t>
            </w:r>
          </w:p>
        </w:tc>
        <w:tc>
          <w:tcPr>
            <w:tcW w:w="57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F</w:t>
            </w:r>
          </w:p>
        </w:tc>
        <w:tc>
          <w:tcPr>
            <w:tcW w:w="55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F</w:t>
            </w:r>
          </w:p>
        </w:tc>
        <w:tc>
          <w:tcPr>
            <w:tcW w:w="48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M</w:t>
            </w:r>
          </w:p>
        </w:tc>
        <w:tc>
          <w:tcPr>
            <w:tcW w:w="54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F</w:t>
            </w:r>
          </w:p>
        </w:tc>
        <w:tc>
          <w:tcPr>
            <w:tcW w:w="51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F</w:t>
            </w:r>
          </w:p>
        </w:tc>
        <w:tc>
          <w:tcPr>
            <w:tcW w:w="55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F</w:t>
            </w:r>
          </w:p>
        </w:tc>
        <w:tc>
          <w:tcPr>
            <w:tcW w:w="601"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M</w:t>
            </w:r>
          </w:p>
        </w:tc>
        <w:tc>
          <w:tcPr>
            <w:tcW w:w="70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M</w:t>
            </w:r>
          </w:p>
        </w:tc>
        <w:tc>
          <w:tcPr>
            <w:tcW w:w="436" w:type="dxa"/>
            <w:gridSpan w:val="3"/>
            <w:tcBorders>
              <w:top w:val="single" w:sz="4" w:space="0" w:color="B3B3B3"/>
            </w:tcBorders>
            <w:shd w:fill="CCDAF4"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F</w:t>
            </w:r>
          </w:p>
        </w:tc>
        <w:tc>
          <w:tcPr>
            <w:tcW w:w="631"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M</w:t>
            </w:r>
          </w:p>
        </w:tc>
        <w:tc>
          <w:tcPr>
            <w:tcW w:w="886" w:type="dxa"/>
            <w:gridSpan w:val="3"/>
            <w:tcBorders>
              <w:top w:val="single" w:sz="4" w:space="0" w:color="B3B3B3"/>
            </w:tcBorders>
            <w:shd w:fill="CCDAF4"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198"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left"/>
              <w:rPr>
                <w:rFonts w:ascii="Gilroy Regular;sans-serif" w:hAnsi="Gilroy Regular;sans-serif"/>
                <w:b w:val="false"/>
                <w:color w:val="000000"/>
                <w:sz w:val="15"/>
              </w:rPr>
            </w:pPr>
            <w:r>
              <w:rPr>
                <w:rFonts w:ascii="Gilroy Regular;sans-serif" w:hAnsi="Gilroy Regular;sans-serif"/>
                <w:b w:val="false"/>
                <w:color w:val="000000"/>
                <w:sz w:val="15"/>
              </w:rPr>
              <w:t>Race/Ethnicity*</w:t>
            </w:r>
          </w:p>
        </w:tc>
        <w:tc>
          <w:tcPr>
            <w:tcW w:w="494"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A</w:t>
            </w:r>
          </w:p>
        </w:tc>
        <w:tc>
          <w:tcPr>
            <w:tcW w:w="541" w:type="dxa"/>
            <w:gridSpan w:val="3"/>
            <w:tcBorders>
              <w:top w:val="single" w:sz="4" w:space="0" w:color="B3B3B3"/>
              <w:bottom w:val="single" w:sz="8" w:space="0" w:color="0046C8"/>
            </w:tcBorders>
            <w:shd w:fill="CCDAF4" w:val="clear"/>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W</w:t>
            </w:r>
          </w:p>
        </w:tc>
        <w:tc>
          <w:tcPr>
            <w:tcW w:w="496" w:type="dxa"/>
            <w:gridSpan w:val="3"/>
            <w:tcBorders>
              <w:top w:val="single" w:sz="4" w:space="0" w:color="B3B3B3"/>
              <w:bottom w:val="single" w:sz="8" w:space="0" w:color="0046C8"/>
            </w:tcBorders>
            <w:shd w:fill="FFFFFF" w:val="clear"/>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W</w:t>
            </w:r>
          </w:p>
        </w:tc>
        <w:tc>
          <w:tcPr>
            <w:tcW w:w="571" w:type="dxa"/>
            <w:gridSpan w:val="3"/>
            <w:tcBorders>
              <w:top w:val="single" w:sz="4" w:space="0" w:color="B3B3B3"/>
              <w:bottom w:val="single" w:sz="8" w:space="0" w:color="0046C8"/>
            </w:tcBorders>
            <w:shd w:fill="CCDAF4" w:val="clear"/>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B</w:t>
            </w:r>
          </w:p>
        </w:tc>
        <w:tc>
          <w:tcPr>
            <w:tcW w:w="556" w:type="dxa"/>
            <w:gridSpan w:val="3"/>
            <w:tcBorders>
              <w:top w:val="single" w:sz="4" w:space="0" w:color="B3B3B3"/>
              <w:bottom w:val="single" w:sz="8" w:space="0" w:color="0046C8"/>
            </w:tcBorders>
            <w:shd w:fill="FFFFFF" w:val="clear"/>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A</w:t>
            </w:r>
          </w:p>
        </w:tc>
        <w:tc>
          <w:tcPr>
            <w:tcW w:w="481" w:type="dxa"/>
            <w:gridSpan w:val="3"/>
            <w:tcBorders>
              <w:top w:val="single" w:sz="4" w:space="0" w:color="B3B3B3"/>
              <w:bottom w:val="single" w:sz="8" w:space="0" w:color="0046C8"/>
            </w:tcBorders>
            <w:shd w:fill="CCDAF4" w:val="clear"/>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W</w:t>
            </w:r>
          </w:p>
        </w:tc>
        <w:tc>
          <w:tcPr>
            <w:tcW w:w="541" w:type="dxa"/>
            <w:gridSpan w:val="3"/>
            <w:tcBorders>
              <w:top w:val="single" w:sz="4" w:space="0" w:color="B3B3B3"/>
              <w:bottom w:val="single" w:sz="8" w:space="0" w:color="0046C8"/>
            </w:tcBorders>
            <w:shd w:fill="FFFFFF" w:val="clear"/>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W</w:t>
            </w:r>
          </w:p>
        </w:tc>
        <w:tc>
          <w:tcPr>
            <w:tcW w:w="511" w:type="dxa"/>
            <w:gridSpan w:val="3"/>
            <w:tcBorders>
              <w:top w:val="single" w:sz="4" w:space="0" w:color="B3B3B3"/>
              <w:bottom w:val="single" w:sz="8" w:space="0" w:color="0046C8"/>
            </w:tcBorders>
            <w:shd w:fill="CCDAF4" w:val="clear"/>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W</w:t>
            </w:r>
          </w:p>
        </w:tc>
        <w:tc>
          <w:tcPr>
            <w:tcW w:w="556"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W</w:t>
            </w:r>
          </w:p>
        </w:tc>
        <w:tc>
          <w:tcPr>
            <w:tcW w:w="601" w:type="dxa"/>
            <w:gridSpan w:val="3"/>
            <w:tcBorders>
              <w:top w:val="single" w:sz="4" w:space="0" w:color="B3B3B3"/>
              <w:bottom w:val="single" w:sz="8" w:space="0" w:color="0046C8"/>
            </w:tcBorders>
            <w:shd w:fill="CCDAF4" w:val="clear"/>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H</w:t>
            </w:r>
          </w:p>
        </w:tc>
        <w:tc>
          <w:tcPr>
            <w:tcW w:w="706" w:type="dxa"/>
            <w:gridSpan w:val="3"/>
            <w:tcBorders>
              <w:top w:val="single" w:sz="4" w:space="0" w:color="B3B3B3"/>
              <w:bottom w:val="single" w:sz="8" w:space="0" w:color="0046C8"/>
            </w:tcBorders>
            <w:shd w:fill="FFFFFF" w:val="clear"/>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W</w:t>
            </w:r>
          </w:p>
        </w:tc>
        <w:tc>
          <w:tcPr>
            <w:tcW w:w="436" w:type="dxa"/>
            <w:gridSpan w:val="3"/>
            <w:tcBorders>
              <w:top w:val="single" w:sz="4" w:space="0" w:color="B3B3B3"/>
              <w:bottom w:val="single" w:sz="8" w:space="0" w:color="0046C8"/>
            </w:tcBorders>
            <w:shd w:fill="CCDAF4" w:val="clear"/>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O</w:t>
            </w:r>
          </w:p>
        </w:tc>
        <w:tc>
          <w:tcPr>
            <w:tcW w:w="631" w:type="dxa"/>
            <w:gridSpan w:val="3"/>
            <w:tcBorders>
              <w:top w:val="single" w:sz="4" w:space="0" w:color="B3B3B3"/>
              <w:bottom w:val="single" w:sz="8" w:space="0" w:color="0046C8"/>
            </w:tcBorders>
            <w:shd w:fill="FFFFFF" w:val="clear"/>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000000"/>
                <w:sz w:val="15"/>
              </w:rPr>
            </w:pPr>
            <w:r>
              <w:rPr>
                <w:rFonts w:ascii="Lato;sans-serif" w:hAnsi="Lato;sans-serif"/>
                <w:b w:val="false"/>
                <w:color w:val="000000"/>
                <w:sz w:val="15"/>
              </w:rPr>
              <w:t>W</w:t>
            </w:r>
          </w:p>
        </w:tc>
        <w:tc>
          <w:tcPr>
            <w:tcW w:w="886" w:type="dxa"/>
            <w:gridSpan w:val="3"/>
            <w:tcBorders>
              <w:top w:val="single" w:sz="4" w:space="0" w:color="B3B3B3"/>
              <w:bottom w:val="single" w:sz="8" w:space="0" w:color="0046C8"/>
            </w:tcBorders>
            <w:shd w:fill="CCDAF4"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rFonts w:ascii="Lato;sans-serif" w:hAnsi="Lato;sans-serif"/>
          <w:b w:val="false"/>
          <w:color w:val="000000"/>
          <w:sz w:val="16"/>
        </w:rPr>
      </w:pPr>
      <w:r>
        <w:rPr>
          <w:rFonts w:ascii="Lato;sans-serif" w:hAnsi="Lato;sans-serif"/>
          <w:b w:val="false"/>
          <w:color w:val="000000"/>
          <w:sz w:val="16"/>
        </w:rPr>
        <w:t>*    A = Asian; B = Black/African American; H = Hispanic/Latino; W = White; O = Other (Middle Eastern)</w:t>
      </w:r>
    </w:p>
    <w:p>
      <w:pPr>
        <w:pStyle w:val="TextBody"/>
        <w:bidi w:val="0"/>
        <w:spacing w:lineRule="auto" w:line="312" w:before="40" w:after="40"/>
        <w:jc w:val="left"/>
        <w:rPr/>
      </w:pPr>
      <w:r>
        <w:rPr>
          <w:rFonts w:ascii="Lato;sans-serif" w:hAnsi="Lato;sans-serif"/>
          <w:b w:val="false"/>
          <w:color w:val="000000"/>
          <w:sz w:val="19"/>
        </w:rPr>
        <w:t xml:space="preserve">For more information, see “Key Director Experience Attributes” on page </w:t>
      </w:r>
      <w:hyperlink w:anchor="ib4053da549454cd2aa33afc924b357a9_0-0-1-2-32231">
        <w:r>
          <w:rPr>
            <w:rStyle w:val="InternetLink"/>
            <w:rFonts w:ascii="Lato;sans-serif" w:hAnsi="Lato;sans-serif"/>
            <w:b w:val="false"/>
            <w:strike w:val="false"/>
            <w:dstrike w:val="false"/>
            <w:color w:val="000000"/>
            <w:sz w:val="19"/>
            <w:u w:val="none"/>
            <w:effect w:val="none"/>
          </w:rPr>
          <w:t>29</w:t>
        </w:r>
      </w:hyperlink>
      <w:r>
        <w:rPr>
          <w:rFonts w:ascii="Lato;sans-serif" w:hAnsi="Lato;sans-serif"/>
          <w:b w:val="false"/>
          <w:color w:val="000000"/>
          <w:sz w:val="19"/>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629920"/>
                <wp:effectExtent l="0" t="0" r="0" b="0"/>
                <wp:wrapNone/>
                <wp:docPr id="97" name="Frame1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47" w:type="dxa"/>
                              <w:jc w:val="right"/>
                              <w:tblInd w:w="0" w:type="dxa"/>
                              <w:tblLayout w:type="fixed"/>
                              <w:tblCellMar>
                                <w:top w:w="28" w:type="dxa"/>
                                <w:left w:w="28" w:type="dxa"/>
                                <w:bottom w:w="28" w:type="dxa"/>
                                <w:right w:w="28" w:type="dxa"/>
                              </w:tblCellMar>
                            </w:tblPr>
                            <w:tblGrid>
                              <w:gridCol w:w="787"/>
                              <w:gridCol w:w="692"/>
                              <w:gridCol w:w="696"/>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47" w:type="dxa"/>
                        <w:jc w:val="right"/>
                        <w:tblInd w:w="0" w:type="dxa"/>
                        <w:tblLayout w:type="fixed"/>
                        <w:tblCellMar>
                          <w:top w:w="28" w:type="dxa"/>
                          <w:left w:w="28" w:type="dxa"/>
                          <w:bottom w:w="28" w:type="dxa"/>
                          <w:right w:w="28" w:type="dxa"/>
                        </w:tblCellMar>
                      </w:tblPr>
                      <w:tblGrid>
                        <w:gridCol w:w="787"/>
                        <w:gridCol w:w="692"/>
                        <w:gridCol w:w="696"/>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5</w:t>
                            </w:r>
                          </w:p>
                        </w:tc>
                      </w:tr>
                    </w:tbl>
                    <w:p>
                      <w:pPr>
                        <w:pStyle w:val="TextBody"/>
                        <w:bidi w:val="0"/>
                        <w:spacing w:before="0" w:after="283"/>
                        <w:jc w:val="left"/>
                        <w:rPr/>
                      </w:pPr>
                      <w:r>
                        <w:rPr/>
                      </w:r>
                    </w:p>
                  </w:txbxContent>
                </v:textbox>
                <w10:wrap type="none"/>
              </v:rect>
            </w:pict>
          </mc:Fallback>
        </mc:AlternateContent>
      </w:r>
    </w:p>
    <w:tbl>
      <w:tblPr>
        <w:tblW w:w="1825" w:type="dxa"/>
        <w:jc w:val="left"/>
        <w:tblInd w:w="0" w:type="dxa"/>
        <w:tblLayout w:type="fixed"/>
        <w:tblCellMar>
          <w:top w:w="28" w:type="dxa"/>
          <w:left w:w="28" w:type="dxa"/>
          <w:bottom w:w="28" w:type="dxa"/>
          <w:right w:w="28" w:type="dxa"/>
        </w:tblCellMar>
      </w:tblPr>
      <w:tblGrid>
        <w:gridCol w:w="461"/>
        <w:gridCol w:w="405"/>
        <w:gridCol w:w="408"/>
        <w:gridCol w:w="161"/>
        <w:gridCol w:w="161"/>
        <w:gridCol w:w="229"/>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Proxy summary</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9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7" descr=""/>
                          <pic:cNvPicPr>
                            <a:picLocks noChangeAspect="1" noChangeArrowheads="1"/>
                          </pic:cNvPicPr>
                        </pic:nvPicPr>
                        <pic:blipFill>
                          <a:blip r:embed="rId88"/>
                          <a:stretch>
                            <a:fillRect/>
                          </a:stretch>
                        </pic:blipFill>
                        <pic:spPr bwMode="auto">
                          <a:xfrm>
                            <a:off x="0" y="0"/>
                            <a:ext cx="228600" cy="180975"/>
                          </a:xfrm>
                          <a:prstGeom prst="rect">
                            <a:avLst/>
                          </a:prstGeom>
                        </pic:spPr>
                      </pic:pic>
                    </a:graphicData>
                  </a:graphic>
                </wp:inline>
              </w:drawing>
            </w:r>
            <w:r>
              <w:rPr>
                <w:color w:val="000000"/>
              </w:rPr>
              <w:t> </w:t>
            </w:r>
          </w:p>
        </w:tc>
      </w:tr>
      <w:tr>
        <w:trPr/>
        <w:tc>
          <w:tcPr>
            <w:tcW w:w="12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Service on Other Public Boards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Under our Corporate Governance Policies, directors should not serve on more than four public company boards (including the Kimberly-Clark Board). The Board has reviewed the number of outside directorships held by directors and determined that all directors are in compliance. In addition, when nominating a director for service on the Board or for re-election, the Board considers whether, in light of other commitments (including public company board leadership positions), the nominee will have adequate time to serve as a director of Kimberly-Clark.</w:t>
      </w: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Governance Highlights</w:t>
      </w:r>
    </w:p>
    <w:p>
      <w:pPr>
        <w:pStyle w:val="TextBody"/>
        <w:bidi w:val="0"/>
        <w:spacing w:lineRule="auto" w:line="312" w:before="120" w:after="120"/>
        <w:jc w:val="left"/>
        <w:rPr/>
      </w:pPr>
      <w:r>
        <w:rPr>
          <w:rFonts w:ascii="Lato;sans-serif" w:hAnsi="Lato;sans-serif"/>
          <w:b w:val="false"/>
          <w:color w:val="000000"/>
          <w:sz w:val="19"/>
        </w:rPr>
        <w:t xml:space="preserve">The Corporate Governance section beginning on page </w:t>
      </w:r>
      <w:hyperlink w:anchor="i00769f51dfdb44b384777a5117e5dd26_28">
        <w:r>
          <w:rPr>
            <w:rStyle w:val="InternetLink"/>
            <w:rFonts w:ascii="Lato;sans-serif" w:hAnsi="Lato;sans-serif"/>
            <w:b w:val="false"/>
            <w:strike w:val="false"/>
            <w:dstrike w:val="false"/>
            <w:color w:val="000000"/>
            <w:sz w:val="19"/>
            <w:u w:val="none"/>
            <w:effect w:val="none"/>
          </w:rPr>
          <w:t>11</w:t>
        </w:r>
      </w:hyperlink>
      <w:r>
        <w:rPr>
          <w:rFonts w:ascii="Lato;sans-serif" w:hAnsi="Lato;sans-serif"/>
          <w:b w:val="false"/>
          <w:color w:val="000000"/>
          <w:sz w:val="19"/>
        </w:rPr>
        <w:t xml:space="preserve"> describes our strong governance framework, which includes:</w:t>
      </w:r>
    </w:p>
    <w:tbl>
      <w:tblPr>
        <w:tblW w:w="10205" w:type="dxa"/>
        <w:jc w:val="left"/>
        <w:tblInd w:w="0" w:type="dxa"/>
        <w:tblLayout w:type="fixed"/>
        <w:tblCellMar>
          <w:top w:w="28" w:type="dxa"/>
          <w:left w:w="28" w:type="dxa"/>
          <w:bottom w:w="28" w:type="dxa"/>
          <w:right w:w="28" w:type="dxa"/>
        </w:tblCellMar>
      </w:tblPr>
      <w:tblGrid>
        <w:gridCol w:w="1846"/>
        <w:gridCol w:w="1533"/>
        <w:gridCol w:w="1520"/>
        <w:gridCol w:w="1602"/>
        <w:gridCol w:w="1543"/>
        <w:gridCol w:w="2161"/>
      </w:tblGrid>
      <w:tr>
        <w:trPr/>
        <w:tc>
          <w:tcPr>
            <w:tcW w:w="1846"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22"/>
              </w:rPr>
            </w:pPr>
            <w:r>
              <w:rPr>
                <w:rFonts w:ascii="Lato Bold;sans-serif" w:hAnsi="Lato Bold;sans-serif"/>
                <w:b/>
                <w:color w:val="000000"/>
                <w:sz w:val="22"/>
              </w:rPr>
              <w:t>Our Corporate Governance Profile</w:t>
            </w:r>
          </w:p>
        </w:tc>
      </w:tr>
      <w:tr>
        <w:trPr/>
        <w:tc>
          <w:tcPr>
            <w:tcW w:w="4899"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9"/>
              </w:rPr>
            </w:pPr>
            <w:r>
              <w:rPr>
                <w:rFonts w:ascii="Lato;sans-serif" w:hAnsi="Lato;sans-serif"/>
                <w:b w:val="false"/>
                <w:color w:val="000000"/>
                <w:sz w:val="19"/>
              </w:rPr>
              <w:t>Independent Lead Director</w:t>
            </w:r>
          </w:p>
        </w:tc>
        <w:tc>
          <w:tcPr>
            <w:tcW w:w="5306"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9"/>
              </w:rPr>
            </w:pPr>
            <w:r>
              <w:rPr>
                <w:rFonts w:ascii="Lato;sans-serif" w:hAnsi="Lato;sans-serif"/>
                <w:b w:val="false"/>
                <w:color w:val="000000"/>
                <w:sz w:val="19"/>
              </w:rPr>
              <w:t>Stockholders have right to call special meetings</w:t>
            </w:r>
          </w:p>
        </w:tc>
      </w:tr>
      <w:tr>
        <w:trPr/>
        <w:tc>
          <w:tcPr>
            <w:tcW w:w="4899"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9"/>
              </w:rPr>
            </w:pPr>
            <w:r>
              <w:rPr>
                <w:rFonts w:ascii="Lato;sans-serif" w:hAnsi="Lato;sans-serif"/>
                <w:b w:val="false"/>
                <w:color w:val="000000"/>
                <w:sz w:val="19"/>
              </w:rPr>
              <w:t>Independent Board committees</w:t>
            </w:r>
          </w:p>
        </w:tc>
        <w:tc>
          <w:tcPr>
            <w:tcW w:w="530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9"/>
              </w:rPr>
            </w:pPr>
            <w:r>
              <w:rPr>
                <w:rFonts w:ascii="Lato;sans-serif" w:hAnsi="Lato;sans-serif"/>
                <w:b w:val="false"/>
                <w:color w:val="000000"/>
                <w:sz w:val="19"/>
              </w:rPr>
              <w:t>Proxy access rights</w:t>
            </w:r>
          </w:p>
        </w:tc>
      </w:tr>
      <w:tr>
        <w:trPr/>
        <w:tc>
          <w:tcPr>
            <w:tcW w:w="4899"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9"/>
              </w:rPr>
            </w:pPr>
            <w:r>
              <w:rPr>
                <w:rFonts w:ascii="Lato;sans-serif" w:hAnsi="Lato;sans-serif"/>
                <w:b w:val="false"/>
                <w:color w:val="000000"/>
                <w:sz w:val="19"/>
              </w:rPr>
              <w:t>Annual Board and committee evaluations</w:t>
            </w:r>
          </w:p>
        </w:tc>
        <w:tc>
          <w:tcPr>
            <w:tcW w:w="530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9"/>
              </w:rPr>
            </w:pPr>
            <w:r>
              <w:rPr>
                <w:rFonts w:ascii="Lato;sans-serif" w:hAnsi="Lato;sans-serif"/>
                <w:b w:val="false"/>
                <w:color w:val="000000"/>
                <w:sz w:val="19"/>
              </w:rPr>
              <w:t>Stockholder engagement policy and outreach program</w:t>
            </w:r>
          </w:p>
        </w:tc>
      </w:tr>
      <w:tr>
        <w:trPr/>
        <w:tc>
          <w:tcPr>
            <w:tcW w:w="4899"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9"/>
              </w:rPr>
            </w:pPr>
            <w:r>
              <w:rPr>
                <w:rFonts w:ascii="Lato;sans-serif" w:hAnsi="Lato;sans-serif"/>
                <w:b w:val="false"/>
                <w:color w:val="000000"/>
                <w:sz w:val="19"/>
              </w:rPr>
              <w:t>Annually elected directors</w:t>
            </w:r>
          </w:p>
        </w:tc>
        <w:tc>
          <w:tcPr>
            <w:tcW w:w="530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9"/>
              </w:rPr>
            </w:pPr>
            <w:r>
              <w:rPr>
                <w:rFonts w:ascii="Lato;sans-serif" w:hAnsi="Lato;sans-serif"/>
                <w:b w:val="false"/>
                <w:color w:val="000000"/>
                <w:sz w:val="19"/>
              </w:rPr>
              <w:t>Anti-hedging and pledging policy</w:t>
            </w:r>
          </w:p>
        </w:tc>
      </w:tr>
      <w:tr>
        <w:trPr/>
        <w:tc>
          <w:tcPr>
            <w:tcW w:w="4899"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9"/>
              </w:rPr>
            </w:pPr>
            <w:r>
              <w:rPr>
                <w:rFonts w:ascii="Lato;sans-serif" w:hAnsi="Lato;sans-serif"/>
                <w:b w:val="false"/>
                <w:color w:val="000000"/>
                <w:sz w:val="19"/>
              </w:rPr>
              <w:t>Independent directors meet without management present</w:t>
            </w:r>
          </w:p>
        </w:tc>
        <w:tc>
          <w:tcPr>
            <w:tcW w:w="530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9"/>
              </w:rPr>
            </w:pPr>
            <w:r>
              <w:rPr>
                <w:rFonts w:ascii="Lato;sans-serif" w:hAnsi="Lato;sans-serif"/>
                <w:b w:val="false"/>
                <w:color w:val="000000"/>
                <w:sz w:val="19"/>
              </w:rPr>
              <w:t>Stock ownership guidelines for directors and executive officers</w:t>
            </w:r>
          </w:p>
        </w:tc>
      </w:tr>
      <w:tr>
        <w:trPr/>
        <w:tc>
          <w:tcPr>
            <w:tcW w:w="4899"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9"/>
              </w:rPr>
            </w:pPr>
            <w:r>
              <w:rPr>
                <w:rFonts w:ascii="Lato;sans-serif" w:hAnsi="Lato;sans-serif"/>
                <w:b w:val="false"/>
                <w:color w:val="000000"/>
                <w:sz w:val="19"/>
              </w:rPr>
              <w:t>Board and management succession planning</w:t>
            </w:r>
          </w:p>
        </w:tc>
        <w:tc>
          <w:tcPr>
            <w:tcW w:w="5306"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9"/>
              </w:rPr>
            </w:pPr>
            <w:r>
              <w:rPr>
                <w:rFonts w:ascii="Lato;sans-serif" w:hAnsi="Lato;sans-serif"/>
                <w:b w:val="false"/>
                <w:color w:val="000000"/>
                <w:sz w:val="19"/>
              </w:rPr>
              <w:t>Outside director equity awards not paid out until retirement</w:t>
            </w:r>
          </w:p>
        </w:tc>
      </w:tr>
      <w:tr>
        <w:trPr/>
        <w:tc>
          <w:tcPr>
            <w:tcW w:w="4899" w:type="dxa"/>
            <w:gridSpan w:val="3"/>
            <w:tcBorders>
              <w:top w:val="single" w:sz="4" w:space="0" w:color="B3B3B3"/>
              <w:bottom w:val="single" w:sz="8" w:space="0" w:color="0046C8"/>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9"/>
              </w:rPr>
            </w:pPr>
            <w:r>
              <w:rPr>
                <w:rFonts w:ascii="Lato;sans-serif" w:hAnsi="Lato;sans-serif"/>
                <w:b w:val="false"/>
                <w:color w:val="000000"/>
                <w:sz w:val="19"/>
              </w:rPr>
              <w:t>Robust oversight of strategy and risk</w:t>
            </w:r>
          </w:p>
        </w:tc>
        <w:tc>
          <w:tcPr>
            <w:tcW w:w="5306" w:type="dxa"/>
            <w:gridSpan w:val="3"/>
            <w:tcBorders>
              <w:top w:val="single" w:sz="4" w:space="0" w:color="B3B3B3"/>
              <w:bottom w:val="single" w:sz="8" w:space="0" w:color="0046C8"/>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9"/>
              </w:rPr>
            </w:pPr>
            <w:r>
              <w:rPr>
                <w:rFonts w:ascii="Lato;sans-serif" w:hAnsi="Lato;sans-serif"/>
                <w:b w:val="false"/>
                <w:color w:val="000000"/>
                <w:sz w:val="19"/>
              </w:rPr>
              <w:t>Majority voting in director elections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629920"/>
                <wp:effectExtent l="0" t="0" r="0" b="0"/>
                <wp:wrapNone/>
                <wp:docPr id="99" name="Frame1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47" w:type="dxa"/>
                              <w:jc w:val="left"/>
                              <w:tblInd w:w="0" w:type="dxa"/>
                              <w:tblLayout w:type="fixed"/>
                              <w:tblCellMar>
                                <w:top w:w="28" w:type="dxa"/>
                                <w:left w:w="28" w:type="dxa"/>
                                <w:bottom w:w="28" w:type="dxa"/>
                                <w:right w:w="28" w:type="dxa"/>
                              </w:tblCellMar>
                            </w:tblPr>
                            <w:tblGrid>
                              <w:gridCol w:w="124"/>
                              <w:gridCol w:w="109"/>
                              <w:gridCol w:w="109"/>
                              <w:gridCol w:w="645"/>
                              <w:gridCol w:w="645"/>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47" w:type="dxa"/>
                        <w:jc w:val="left"/>
                        <w:tblInd w:w="0" w:type="dxa"/>
                        <w:tblLayout w:type="fixed"/>
                        <w:tblCellMar>
                          <w:top w:w="28" w:type="dxa"/>
                          <w:left w:w="28" w:type="dxa"/>
                          <w:bottom w:w="28" w:type="dxa"/>
                          <w:right w:w="28" w:type="dxa"/>
                        </w:tblCellMar>
                      </w:tblPr>
                      <w:tblGrid>
                        <w:gridCol w:w="124"/>
                        <w:gridCol w:w="109"/>
                        <w:gridCol w:w="109"/>
                        <w:gridCol w:w="645"/>
                        <w:gridCol w:w="645"/>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1825" w:type="dxa"/>
        <w:jc w:val="left"/>
        <w:tblInd w:w="0" w:type="dxa"/>
        <w:tblLayout w:type="fixed"/>
        <w:tblCellMar>
          <w:top w:w="28" w:type="dxa"/>
          <w:left w:w="28" w:type="dxa"/>
          <w:bottom w:w="28" w:type="dxa"/>
          <w:right w:w="28" w:type="dxa"/>
        </w:tblCellMar>
      </w:tblPr>
      <w:tblGrid>
        <w:gridCol w:w="188"/>
        <w:gridCol w:w="166"/>
        <w:gridCol w:w="167"/>
        <w:gridCol w:w="382"/>
        <w:gridCol w:w="382"/>
        <w:gridCol w:w="540"/>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100"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8" descr=""/>
                          <pic:cNvPicPr>
                            <a:picLocks noChangeAspect="1" noChangeArrowheads="1"/>
                          </pic:cNvPicPr>
                        </pic:nvPicPr>
                        <pic:blipFill>
                          <a:blip r:embed="rId89"/>
                          <a:stretch>
                            <a:fillRect/>
                          </a:stretch>
                        </pic:blipFill>
                        <pic:spPr bwMode="auto">
                          <a:xfrm>
                            <a:off x="0" y="0"/>
                            <a:ext cx="228600" cy="180975"/>
                          </a:xfrm>
                          <a:prstGeom prst="rect">
                            <a:avLst/>
                          </a:prstGeom>
                        </pic:spPr>
                      </pic:pic>
                    </a:graphicData>
                  </a:graphic>
                </wp:inline>
              </w:drawing>
            </w: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Proxy summary</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Stockholder Engagement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2024, we continued our focus on regularly engaging with investors to understand their perspectives on a variety of topics. This process helps ensure that management and the Board understand and consider the issues that matter most to our stockholders and enables us to address them effectively. We reached out to stockholders representing approximately 51 percent of our common stock and engaged with stockholders representing approximately 18 percent of our common stock. We discussed many key topics, including our approach to director refreshment, our corporate governance practices, significant enhancements to our corporate social responsibility and sustainability disclosures and our executive compensation program.</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Investors continued to express broad support for our governance structures and executive compensation program and shared their views on matters related to shareholder rights and our independent, well-qualified Board. Further, investors highlighted the importance of continuing our ongoing engagement with them on corporate social responsibility and sustainability initiatives. Our corporate governance profile, executive compensation programs, and sustainability initiatives reflect the input of stockholders from our outreach efforts.</w:t>
      </w: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Sustainability</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Sustainability is at the center of our company and by 2030 we aspire to advance the well-being of one billion people through social programs and reduce our environmental footprint by half. We focus on the areas most relevant to our business and where we believe we can have the biggest impact – climate, forests and biodiversity, water, and plastics.</w:t>
      </w:r>
    </w:p>
    <w:p>
      <w:pPr>
        <w:pStyle w:val="TextBody"/>
        <w:bidi w:val="0"/>
        <w:spacing w:lineRule="auto" w:line="312" w:before="120" w:after="120"/>
        <w:jc w:val="left"/>
        <w:rPr/>
      </w:pPr>
      <w:r>
        <w:rPr>
          <w:rFonts w:ascii="Lato;sans-serif" w:hAnsi="Lato;sans-serif"/>
          <w:b w:val="false"/>
          <w:color w:val="000000"/>
          <w:sz w:val="19"/>
        </w:rPr>
        <w:t xml:space="preserve">Each year, we publish a Global Sustainability Report outlining our key strategies, initiatives, and results in greater detail. Our report includes an addendum of material organized and presented in accordance with the Global Reporting Initiative (GRI) and Sustainability Accounting Standards Board (SASB) Standards, which can be found on our website at </w:t>
      </w:r>
      <w:r>
        <w:rPr>
          <w:rFonts w:ascii="Lato;sans-serif" w:hAnsi="Lato;sans-serif"/>
          <w:b/>
          <w:color w:val="000000"/>
          <w:sz w:val="19"/>
        </w:rPr>
        <w:t>www.kimberly-clark.com/esg</w:t>
      </w:r>
      <w:r>
        <w:rPr>
          <w:rFonts w:ascii="Lato;sans-serif" w:hAnsi="Lato;sans-serif"/>
          <w:b w:val="false"/>
          <w:color w:val="000000"/>
          <w:sz w:val="19"/>
        </w:rPr>
        <w:t>. We also publish a Task Force on Climate-related Financial Disclosures (TCFD)-aligned disclosure to enhance visibility to our climate risks and opportunities. Within our disclosure, we cover TCFD’s four core areas: governance, strategy, risk management, and metrics and targets. As part of our commitment to building a diverse workforce, we have adopted the practice of disclosing our annual EEO-1 data on the Sustainability section of our website after our submission of the corresponding report to the U.S. Equal Employment Opportunity Commission.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Nominating and Corporate Governance Committee of the Board maintains a standing Sustainability Subcommittee to support the Committee in executing its oversight responsibilities for matters relating to sustainability, corporate social responsibilities, and corporate citizenship and as we continue to incorporate related risks and opportunities into the Board’s overall strategic decision-making. The Sustainability Subcommittee is chaired by independent director Dr. Mae Jemison.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629920"/>
                <wp:effectExtent l="0" t="0" r="0" b="0"/>
                <wp:wrapNone/>
                <wp:docPr id="101" name="Frame1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47" w:type="dxa"/>
                              <w:jc w:val="right"/>
                              <w:tblInd w:w="0" w:type="dxa"/>
                              <w:tblLayout w:type="fixed"/>
                              <w:tblCellMar>
                                <w:top w:w="28" w:type="dxa"/>
                                <w:left w:w="28" w:type="dxa"/>
                                <w:bottom w:w="28" w:type="dxa"/>
                                <w:right w:w="28" w:type="dxa"/>
                              </w:tblCellMar>
                            </w:tblPr>
                            <w:tblGrid>
                              <w:gridCol w:w="787"/>
                              <w:gridCol w:w="692"/>
                              <w:gridCol w:w="696"/>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47" w:type="dxa"/>
                        <w:jc w:val="right"/>
                        <w:tblInd w:w="0" w:type="dxa"/>
                        <w:tblLayout w:type="fixed"/>
                        <w:tblCellMar>
                          <w:top w:w="28" w:type="dxa"/>
                          <w:left w:w="28" w:type="dxa"/>
                          <w:bottom w:w="28" w:type="dxa"/>
                          <w:right w:w="28" w:type="dxa"/>
                        </w:tblCellMar>
                      </w:tblPr>
                      <w:tblGrid>
                        <w:gridCol w:w="787"/>
                        <w:gridCol w:w="692"/>
                        <w:gridCol w:w="696"/>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7</w:t>
                            </w:r>
                          </w:p>
                        </w:tc>
                      </w:tr>
                    </w:tbl>
                    <w:p>
                      <w:pPr>
                        <w:pStyle w:val="TextBody"/>
                        <w:bidi w:val="0"/>
                        <w:spacing w:before="0" w:after="283"/>
                        <w:jc w:val="left"/>
                        <w:rPr/>
                      </w:pPr>
                      <w:r>
                        <w:rPr/>
                      </w:r>
                    </w:p>
                  </w:txbxContent>
                </v:textbox>
                <w10:wrap type="none"/>
              </v:rect>
            </w:pict>
          </mc:Fallback>
        </mc:AlternateContent>
      </w:r>
    </w:p>
    <w:tbl>
      <w:tblPr>
        <w:tblW w:w="1825" w:type="dxa"/>
        <w:jc w:val="left"/>
        <w:tblInd w:w="0" w:type="dxa"/>
        <w:tblLayout w:type="fixed"/>
        <w:tblCellMar>
          <w:top w:w="28" w:type="dxa"/>
          <w:left w:w="28" w:type="dxa"/>
          <w:bottom w:w="28" w:type="dxa"/>
          <w:right w:w="28" w:type="dxa"/>
        </w:tblCellMar>
      </w:tblPr>
      <w:tblGrid>
        <w:gridCol w:w="461"/>
        <w:gridCol w:w="405"/>
        <w:gridCol w:w="408"/>
        <w:gridCol w:w="161"/>
        <w:gridCol w:w="161"/>
        <w:gridCol w:w="229"/>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Proxy summary</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10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9" descr=""/>
                          <pic:cNvPicPr>
                            <a:picLocks noChangeAspect="1" noChangeArrowheads="1"/>
                          </pic:cNvPicPr>
                        </pic:nvPicPr>
                        <pic:blipFill>
                          <a:blip r:embed="rId90"/>
                          <a:stretch>
                            <a:fillRect/>
                          </a:stretch>
                        </pic:blipFill>
                        <pic:spPr bwMode="auto">
                          <a:xfrm>
                            <a:off x="0" y="0"/>
                            <a:ext cx="228600" cy="180975"/>
                          </a:xfrm>
                          <a:prstGeom prst="rect">
                            <a:avLst/>
                          </a:prstGeom>
                        </pic:spPr>
                      </pic:pic>
                    </a:graphicData>
                  </a:graphic>
                </wp:inline>
              </w:drawing>
            </w:r>
            <w:r>
              <w:rPr>
                <w:color w:val="000000"/>
              </w:rPr>
              <w:t> </w:t>
            </w:r>
          </w:p>
        </w:tc>
      </w:tr>
      <w:tr>
        <w:trPr/>
        <w:tc>
          <w:tcPr>
            <w:tcW w:w="12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852"/>
        <w:gridCol w:w="2509"/>
        <w:gridCol w:w="2492"/>
        <w:gridCol w:w="396"/>
        <w:gridCol w:w="396"/>
        <w:gridCol w:w="396"/>
        <w:gridCol w:w="338"/>
        <w:gridCol w:w="338"/>
        <w:gridCol w:w="488"/>
      </w:tblGrid>
      <w:tr>
        <w:trPr/>
        <w:tc>
          <w:tcPr>
            <w:tcW w:w="2852"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7853" w:type="dxa"/>
            <w:gridSpan w:val="3"/>
            <w:tcBorders/>
            <w:shd w:fill="0046C8" w:val="clear"/>
            <w:tcMar>
              <w:top w:w="0" w:type="dxa"/>
              <w:left w:w="0" w:type="dxa"/>
              <w:bottom w:w="0" w:type="dxa"/>
              <w:right w:w="0" w:type="dxa"/>
            </w:tcMar>
            <w:vAlign w:val="center"/>
          </w:tcPr>
          <w:p>
            <w:pPr>
              <w:pStyle w:val="TableContents"/>
              <w:bidi w:val="0"/>
              <w:spacing w:lineRule="auto" w:line="312" w:before="120" w:after="120"/>
              <w:jc w:val="left"/>
              <w:rPr>
                <w:rFonts w:ascii="Lato Bold;sans-serif" w:hAnsi="Lato Bold;sans-serif"/>
                <w:b/>
                <w:color w:val="FFFFFF"/>
                <w:sz w:val="28"/>
              </w:rPr>
            </w:pPr>
            <w:r>
              <w:rPr>
                <w:rFonts w:ascii="Lato Bold;sans-serif" w:hAnsi="Lato Bold;sans-serif"/>
                <w:b/>
                <w:color w:val="FFFFFF"/>
                <w:sz w:val="28"/>
              </w:rPr>
              <w:t>PROPOSAL 2</w:t>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3" w:type="dxa"/>
            <w:gridSpan w:val="3"/>
            <w:tcBorders>
              <w:top w:val="single" w:sz="4"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46C8"/>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1" w:type="dxa"/>
            <w:gridSpan w:val="6"/>
            <w:tcBorders/>
            <w:tcMar>
              <w:top w:w="0" w:type="dxa"/>
              <w:left w:w="0" w:type="dxa"/>
              <w:bottom w:w="0" w:type="dxa"/>
              <w:right w:w="0" w:type="dxa"/>
            </w:tcMar>
            <w:vAlign w:val="center"/>
          </w:tcPr>
          <w:p>
            <w:pPr>
              <w:pStyle w:val="TableContents"/>
              <w:bidi w:val="0"/>
              <w:spacing w:lineRule="auto" w:line="264" w:before="0" w:after="0"/>
              <w:jc w:val="left"/>
              <w:rPr>
                <w:rFonts w:ascii="Lato Bold;sans-serif" w:hAnsi="Lato Bold;sans-serif"/>
                <w:b/>
                <w:color w:val="0046C8"/>
                <w:sz w:val="36"/>
              </w:rPr>
            </w:pPr>
            <w:r>
              <w:rPr>
                <w:rFonts w:ascii="Lato Bold;sans-serif" w:hAnsi="Lato Bold;sans-serif"/>
                <w:b/>
                <w:color w:val="0046C8"/>
                <w:sz w:val="36"/>
              </w:rPr>
              <w:t>Ratification of Auditor</w:t>
            </w:r>
          </w:p>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Approval of the Audit Committee’s selection of Deloitte &amp; Touche LLP as Kimberly-Clark’s independent auditor for 2025</w:t>
            </w:r>
          </w:p>
          <w:p>
            <w:pPr>
              <w:pStyle w:val="TableContents"/>
              <w:bidi w:val="0"/>
              <w:spacing w:lineRule="auto" w:line="312" w:before="120" w:after="120"/>
              <w:jc w:val="left"/>
              <w:rPr/>
            </w:pPr>
            <w:r>
              <w:rPr>
                <w:rFonts w:ascii="Lato;sans-serif" w:hAnsi="Lato;sans-serif"/>
                <w:b w:val="false"/>
                <w:color w:val="000000"/>
                <w:sz w:val="19"/>
              </w:rPr>
              <w:t xml:space="preserve">The Board recommends a vote </w:t>
            </w:r>
            <w:r>
              <w:rPr>
                <w:rFonts w:ascii="Lato Bold;sans-serif" w:hAnsi="Lato Bold;sans-serif"/>
                <w:b/>
                <w:color w:val="0046C8"/>
                <w:sz w:val="19"/>
              </w:rPr>
              <w:t>FOR</w:t>
            </w:r>
            <w:r>
              <w:rPr>
                <w:color w:val="000000"/>
              </w:rPr>
              <w:t xml:space="preserve"> </w:t>
            </w:r>
            <w:r>
              <w:rPr>
                <w:rFonts w:ascii="Lato;sans-serif" w:hAnsi="Lato;sans-serif"/>
                <w:b w:val="false"/>
                <w:color w:val="000000"/>
                <w:sz w:val="19"/>
              </w:rPr>
              <w:t>this proposal.  </w:t>
            </w:r>
            <w:r>
              <w:rPr/>
              <w:drawing>
                <wp:inline distT="0" distB="0" distL="0" distR="0">
                  <wp:extent cx="133350" cy="104775"/>
                  <wp:effectExtent l="0" t="0" r="0" b="0"/>
                  <wp:docPr id="10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0" descr=""/>
                          <pic:cNvPicPr>
                            <a:picLocks noChangeAspect="1" noChangeArrowheads="1"/>
                          </pic:cNvPicPr>
                        </pic:nvPicPr>
                        <pic:blipFill>
                          <a:blip r:embed="rId91"/>
                          <a:stretch>
                            <a:fillRect/>
                          </a:stretch>
                        </pic:blipFill>
                        <pic:spPr bwMode="auto">
                          <a:xfrm>
                            <a:off x="0" y="0"/>
                            <a:ext cx="133350" cy="104775"/>
                          </a:xfrm>
                          <a:prstGeom prst="rect">
                            <a:avLst/>
                          </a:prstGeom>
                        </pic:spPr>
                      </pic:pic>
                    </a:graphicData>
                  </a:graphic>
                </wp:inline>
              </w:drawing>
            </w:r>
          </w:p>
        </w:tc>
        <w:tc>
          <w:tcPr>
            <w:tcW w:w="1164" w:type="dxa"/>
            <w:gridSpan w:val="3"/>
            <w:tcBorders/>
            <w:shd w:fill="CCDAF4" w:val="clear"/>
            <w:tcMar>
              <w:top w:w="0" w:type="dxa"/>
              <w:left w:w="0" w:type="dxa"/>
              <w:bottom w:w="0" w:type="dxa"/>
              <w:right w:w="0" w:type="dxa"/>
            </w:tcMar>
            <w:vAlign w:val="center"/>
          </w:tcPr>
          <w:p>
            <w:pPr>
              <w:pStyle w:val="TableContents"/>
              <w:bidi w:val="0"/>
              <w:spacing w:lineRule="auto" w:line="312" w:before="120" w:after="120"/>
              <w:jc w:val="right"/>
              <w:rPr/>
            </w:pPr>
            <w:r>
              <w:rPr>
                <w:rFonts w:ascii="Lato;sans-serif" w:hAnsi="Lato;sans-serif"/>
                <w:b w:val="false"/>
                <w:color w:val="414042"/>
                <w:sz w:val="19"/>
              </w:rPr>
              <w:t>See page</w:t>
            </w:r>
            <w:r>
              <w:rPr>
                <w:color w:val="7891A5"/>
              </w:rPr>
              <w:t xml:space="preserve"> </w:t>
            </w:r>
            <w:hyperlink w:anchor="i00769f51dfdb44b384777a5117e5dd26_115">
              <w:r>
                <w:rPr>
                  <w:rStyle w:val="InternetLink"/>
                  <w:rFonts w:ascii="Lato Bold;sans-serif" w:hAnsi="Lato Bold;sans-serif"/>
                  <w:b/>
                  <w:strike w:val="false"/>
                  <w:dstrike w:val="false"/>
                  <w:color w:val="0046C8"/>
                  <w:sz w:val="19"/>
                  <w:u w:val="none"/>
                  <w:effect w:val="none"/>
                </w:rPr>
                <w:t>46</w:t>
              </w:r>
            </w:hyperlink>
          </w:p>
        </w:tc>
      </w:tr>
      <w:tr>
        <w:trPr/>
        <w:tc>
          <w:tcPr>
            <w:tcW w:w="7853"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bottom w:val="single" w:sz="16" w:space="0" w:color="0046C8"/>
            </w:tcBorders>
            <w:shd w:fill="CCDA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Principal Accounting Firm Fees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aggregate fees to Deloitte (excluding value added taxes) with respect to the fiscal years ended December 31, 2024 and 2023, were as follows (dollars in millions):</w:t>
      </w:r>
    </w:p>
    <w:tbl>
      <w:tblPr>
        <w:tblW w:w="3851" w:type="dxa"/>
        <w:jc w:val="left"/>
        <w:tblInd w:w="0" w:type="dxa"/>
        <w:tblLayout w:type="fixed"/>
        <w:tblCellMar>
          <w:top w:w="28" w:type="dxa"/>
          <w:left w:w="28" w:type="dxa"/>
          <w:bottom w:w="28" w:type="dxa"/>
          <w:right w:w="28" w:type="dxa"/>
        </w:tblCellMar>
      </w:tblPr>
      <w:tblGrid>
        <w:gridCol w:w="709"/>
        <w:gridCol w:w="623"/>
        <w:gridCol w:w="632"/>
        <w:gridCol w:w="226"/>
        <w:gridCol w:w="586"/>
        <w:gridCol w:w="109"/>
        <w:gridCol w:w="226"/>
        <w:gridCol w:w="586"/>
        <w:gridCol w:w="154"/>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2024</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2023</w:t>
            </w:r>
          </w:p>
        </w:tc>
      </w:tr>
      <w:tr>
        <w:trPr/>
        <w:tc>
          <w:tcPr>
            <w:tcW w:w="1964" w:type="dxa"/>
            <w:gridSpan w:val="3"/>
            <w:tcBorders>
              <w:top w:val="single" w:sz="6" w:space="0" w:color="0046C8"/>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Audit Fees</w:t>
            </w:r>
            <w:r>
              <w:rPr>
                <w:rFonts w:ascii="Lato;sans-serif" w:hAnsi="Lato;sans-serif"/>
                <w:b w:val="false"/>
                <w:color w:val="000000"/>
                <w:sz w:val="12"/>
              </w:rPr>
              <w:t>(1)</w:t>
            </w:r>
          </w:p>
        </w:tc>
        <w:tc>
          <w:tcPr>
            <w:tcW w:w="226" w:type="dxa"/>
            <w:tcBorders>
              <w:top w:val="single" w:sz="6"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586" w:type="dxa"/>
            <w:tcBorders>
              <w:top w:val="single" w:sz="6"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13.9 </w:t>
            </w:r>
          </w:p>
        </w:tc>
        <w:tc>
          <w:tcPr>
            <w:tcW w:w="109" w:type="dxa"/>
            <w:tcBorders>
              <w:top w:val="single" w:sz="6"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6"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586" w:type="dxa"/>
            <w:tcBorders>
              <w:top w:val="single" w:sz="6"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12.3 </w:t>
            </w:r>
          </w:p>
        </w:tc>
        <w:tc>
          <w:tcPr>
            <w:tcW w:w="154" w:type="dxa"/>
            <w:tcBorders>
              <w:top w:val="single" w:sz="6"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Audit-Related Fees</w:t>
            </w:r>
            <w:r>
              <w:rPr>
                <w:rFonts w:ascii="Lato;sans-serif" w:hAnsi="Lato;sans-serif"/>
                <w:b w:val="false"/>
                <w:color w:val="000000"/>
                <w:sz w:val="12"/>
              </w:rPr>
              <w:t>(2)</w:t>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0.5 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1.0 </w:t>
            </w:r>
          </w:p>
        </w:tc>
        <w:tc>
          <w:tcPr>
            <w:tcW w:w="15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3B3B3"/>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Tax Fees</w:t>
            </w:r>
            <w:r>
              <w:rPr>
                <w:rFonts w:ascii="Lato;sans-serif" w:hAnsi="Lato;sans-serif"/>
                <w:b w:val="false"/>
                <w:color w:val="000000"/>
                <w:sz w:val="12"/>
              </w:rPr>
              <w:t>(3)</w:t>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1.9 </w:t>
            </w:r>
          </w:p>
        </w:tc>
        <w:tc>
          <w:tcPr>
            <w:tcW w:w="15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CBEC0"/>
              <w:bottom w:val="single" w:sz="6" w:space="0" w:color="0046C8"/>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All Other Fees</w:t>
            </w:r>
          </w:p>
        </w:tc>
        <w:tc>
          <w:tcPr>
            <w:tcW w:w="812" w:type="dxa"/>
            <w:gridSpan w:val="2"/>
            <w:tcBorders>
              <w:top w:val="single" w:sz="4" w:space="0" w:color="BCBEC0"/>
              <w:bottom w:val="single" w:sz="6" w:space="0" w:color="0046C8"/>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09" w:type="dxa"/>
            <w:tcBorders>
              <w:top w:val="single" w:sz="4" w:space="0" w:color="BCBEC0"/>
              <w:bottom w:val="single" w:sz="6"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CBEC0"/>
              <w:bottom w:val="single" w:sz="6" w:space="0" w:color="0046C8"/>
            </w:tcBorders>
            <w:tcMar>
              <w:top w:w="30" w:type="dxa"/>
              <w:left w:w="0" w:type="dxa"/>
              <w:bottom w:w="30" w:type="dxa"/>
              <w:right w:w="0" w:type="dxa"/>
            </w:tcMar>
            <w:vAlign w:val="center"/>
          </w:tcPr>
          <w:p>
            <w:pPr>
              <w:pStyle w:val="TableContents"/>
              <w:bidi w:val="0"/>
              <w:spacing w:lineRule="auto" w:line="312" w:before="0" w:after="283"/>
              <w:jc w:val="right"/>
              <w:rPr>
                <w:color w:val="000000"/>
              </w:rPr>
            </w:pPr>
            <w:r>
              <w:rPr>
                <w:color w:val="000000"/>
              </w:rPr>
              <w:t>— </w:t>
            </w:r>
          </w:p>
        </w:tc>
        <w:tc>
          <w:tcPr>
            <w:tcW w:w="154" w:type="dxa"/>
            <w:tcBorders>
              <w:top w:val="single" w:sz="4" w:space="0" w:color="BCBEC0"/>
              <w:bottom w:val="single" w:sz="6"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(1)</w:t>
      </w:r>
      <w:r>
        <w:rPr>
          <w:rFonts w:ascii="Lato;sans-serif" w:hAnsi="Lato;sans-serif"/>
          <w:b w:val="false"/>
          <w:color w:val="000000"/>
          <w:sz w:val="16"/>
        </w:rPr>
        <w:t>These amounts represent fees billed or expected to be billed for professional services rendered by Deloitte for the audit of Kimberly-Clark’s annual financial statements for the fiscal years ended December 31, 2024 and 2023, reviews of the financial statements included in Kimberly-Clark’s Forms 10-Q, and other services that are normally provided by the independent registered public accounting firm in connection with statutory or regulatory filings or engagements for each of those fiscal years. These amounts also include fees for an audit of internal control over financial reporting pursuant to Section 404 of the Sarbanes-Oxley Act of 2002.</w:t>
      </w:r>
    </w:p>
    <w:p>
      <w:pPr>
        <w:pStyle w:val="TextBody"/>
        <w:bidi w:val="0"/>
        <w:spacing w:lineRule="auto" w:line="312" w:before="80" w:after="80"/>
        <w:ind w:left="0" w:right="0" w:hanging="216"/>
        <w:jc w:val="left"/>
        <w:rPr/>
      </w:pPr>
      <w:r>
        <w:rPr>
          <w:rFonts w:ascii="Lato;sans-serif" w:hAnsi="Lato;sans-serif"/>
          <w:b w:val="false"/>
          <w:color w:val="000000"/>
          <w:sz w:val="10"/>
        </w:rPr>
        <w:t>(2)</w:t>
      </w:r>
      <w:r>
        <w:rPr>
          <w:rFonts w:ascii="Lato;sans-serif" w:hAnsi="Lato;sans-serif"/>
          <w:b w:val="false"/>
          <w:color w:val="000000"/>
          <w:sz w:val="16"/>
        </w:rPr>
        <w:t>These amounts represent aggregate fees billed or expected to be billed by Deloitte for assurance and related services reasonably related to the performance of the audit or review of our financial statements, that are not included in the audit fees listed above. These services include engagements related to employee benefit plans, comfort letters, attest services, consents, assistance with and review of SEC filings, due diligence and accounting consultation in connection with acquisitions and dispositions, and other matters.</w:t>
      </w:r>
    </w:p>
    <w:p>
      <w:pPr>
        <w:pStyle w:val="TextBody"/>
        <w:bidi w:val="0"/>
        <w:spacing w:lineRule="auto" w:line="312" w:before="80" w:after="80"/>
        <w:ind w:left="0" w:right="0" w:hanging="216"/>
        <w:jc w:val="left"/>
        <w:rPr/>
      </w:pPr>
      <w:r>
        <w:rPr>
          <w:rFonts w:ascii="Lato;sans-serif" w:hAnsi="Lato;sans-serif"/>
          <w:b w:val="false"/>
          <w:color w:val="000000"/>
          <w:sz w:val="10"/>
        </w:rPr>
        <w:t>(3)</w:t>
      </w:r>
      <w:r>
        <w:rPr>
          <w:rFonts w:ascii="Lato;sans-serif" w:hAnsi="Lato;sans-serif"/>
          <w:b w:val="false"/>
          <w:color w:val="000000"/>
          <w:sz w:val="16"/>
        </w:rPr>
        <w:t>These amounts represent Deloitte’s aggregate fees for tax compliance, tax advice and tax planning for 2024 and 2023. Approximately $0.1 million was for tax compliance/preparation fees in each of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629920"/>
                <wp:effectExtent l="0" t="0" r="0" b="0"/>
                <wp:wrapNone/>
                <wp:docPr id="104" name="Frame1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47" w:type="dxa"/>
                              <w:jc w:val="left"/>
                              <w:tblInd w:w="0" w:type="dxa"/>
                              <w:tblLayout w:type="fixed"/>
                              <w:tblCellMar>
                                <w:top w:w="28" w:type="dxa"/>
                                <w:left w:w="28" w:type="dxa"/>
                                <w:bottom w:w="28" w:type="dxa"/>
                                <w:right w:w="28" w:type="dxa"/>
                              </w:tblCellMar>
                            </w:tblPr>
                            <w:tblGrid>
                              <w:gridCol w:w="124"/>
                              <w:gridCol w:w="109"/>
                              <w:gridCol w:w="109"/>
                              <w:gridCol w:w="645"/>
                              <w:gridCol w:w="645"/>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47" w:type="dxa"/>
                        <w:jc w:val="left"/>
                        <w:tblInd w:w="0" w:type="dxa"/>
                        <w:tblLayout w:type="fixed"/>
                        <w:tblCellMar>
                          <w:top w:w="28" w:type="dxa"/>
                          <w:left w:w="28" w:type="dxa"/>
                          <w:bottom w:w="28" w:type="dxa"/>
                          <w:right w:w="28" w:type="dxa"/>
                        </w:tblCellMar>
                      </w:tblPr>
                      <w:tblGrid>
                        <w:gridCol w:w="124"/>
                        <w:gridCol w:w="109"/>
                        <w:gridCol w:w="109"/>
                        <w:gridCol w:w="645"/>
                        <w:gridCol w:w="645"/>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1825" w:type="dxa"/>
        <w:jc w:val="left"/>
        <w:tblInd w:w="0" w:type="dxa"/>
        <w:tblLayout w:type="fixed"/>
        <w:tblCellMar>
          <w:top w:w="28" w:type="dxa"/>
          <w:left w:w="28" w:type="dxa"/>
          <w:bottom w:w="28" w:type="dxa"/>
          <w:right w:w="28" w:type="dxa"/>
        </w:tblCellMar>
      </w:tblPr>
      <w:tblGrid>
        <w:gridCol w:w="188"/>
        <w:gridCol w:w="166"/>
        <w:gridCol w:w="167"/>
        <w:gridCol w:w="382"/>
        <w:gridCol w:w="382"/>
        <w:gridCol w:w="540"/>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10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1" descr=""/>
                          <pic:cNvPicPr>
                            <a:picLocks noChangeAspect="1" noChangeArrowheads="1"/>
                          </pic:cNvPicPr>
                        </pic:nvPicPr>
                        <pic:blipFill>
                          <a:blip r:embed="rId92"/>
                          <a:stretch>
                            <a:fillRect/>
                          </a:stretch>
                        </pic:blipFill>
                        <pic:spPr bwMode="auto">
                          <a:xfrm>
                            <a:off x="0" y="0"/>
                            <a:ext cx="228600" cy="180975"/>
                          </a:xfrm>
                          <a:prstGeom prst="rect">
                            <a:avLst/>
                          </a:prstGeom>
                        </pic:spPr>
                      </pic:pic>
                    </a:graphicData>
                  </a:graphic>
                </wp:inline>
              </w:drawing>
            </w: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Proxy summary</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933" w:type="dxa"/>
        <w:jc w:val="left"/>
        <w:tblInd w:w="0" w:type="dxa"/>
        <w:tblLayout w:type="fixed"/>
        <w:tblCellMar>
          <w:top w:w="28" w:type="dxa"/>
          <w:left w:w="28" w:type="dxa"/>
          <w:bottom w:w="28" w:type="dxa"/>
          <w:right w:w="28" w:type="dxa"/>
        </w:tblCellMar>
      </w:tblPr>
      <w:tblGrid>
        <w:gridCol w:w="2062"/>
        <w:gridCol w:w="1814"/>
        <w:gridCol w:w="1817"/>
        <w:gridCol w:w="287"/>
        <w:gridCol w:w="287"/>
        <w:gridCol w:w="287"/>
        <w:gridCol w:w="402"/>
        <w:gridCol w:w="402"/>
        <w:gridCol w:w="575"/>
      </w:tblGrid>
      <w:tr>
        <w:trPr/>
        <w:tc>
          <w:tcPr>
            <w:tcW w:w="2062"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5693" w:type="dxa"/>
            <w:gridSpan w:val="3"/>
            <w:tcBorders/>
            <w:shd w:fill="0046C8" w:val="clear"/>
            <w:tcMar>
              <w:top w:w="0" w:type="dxa"/>
              <w:left w:w="0" w:type="dxa"/>
              <w:bottom w:w="0" w:type="dxa"/>
              <w:right w:w="0" w:type="dxa"/>
            </w:tcMar>
            <w:vAlign w:val="center"/>
          </w:tcPr>
          <w:p>
            <w:pPr>
              <w:pStyle w:val="TableContents"/>
              <w:bidi w:val="0"/>
              <w:spacing w:lineRule="auto" w:line="312" w:before="120" w:after="120"/>
              <w:jc w:val="left"/>
              <w:rPr>
                <w:rFonts w:ascii="Lato Bold;sans-serif" w:hAnsi="Lato Bold;sans-serif"/>
                <w:b/>
                <w:color w:val="FFFFFF"/>
                <w:sz w:val="28"/>
              </w:rPr>
            </w:pPr>
            <w:r>
              <w:rPr>
                <w:rFonts w:ascii="Lato Bold;sans-serif" w:hAnsi="Lato Bold;sans-serif"/>
                <w:b/>
                <w:color w:val="FFFFFF"/>
                <w:sz w:val="28"/>
              </w:rPr>
              <w:t>PROPOSAL 3</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3" w:type="dxa"/>
            <w:gridSpan w:val="3"/>
            <w:tcBorders>
              <w:top w:val="single" w:sz="4"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46C8"/>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6"/>
            <w:tcBorders/>
            <w:tcMar>
              <w:top w:w="0" w:type="dxa"/>
              <w:left w:w="0" w:type="dxa"/>
              <w:bottom w:w="0" w:type="dxa"/>
              <w:right w:w="0" w:type="dxa"/>
            </w:tcMar>
            <w:vAlign w:val="center"/>
          </w:tcPr>
          <w:p>
            <w:pPr>
              <w:pStyle w:val="TableContents"/>
              <w:bidi w:val="0"/>
              <w:spacing w:lineRule="auto" w:line="264" w:before="0" w:after="0"/>
              <w:jc w:val="left"/>
              <w:rPr>
                <w:rFonts w:ascii="Lato Bold;sans-serif" w:hAnsi="Lato Bold;sans-serif"/>
                <w:b/>
                <w:color w:val="0046C8"/>
                <w:sz w:val="36"/>
              </w:rPr>
            </w:pPr>
            <w:r>
              <w:rPr>
                <w:rFonts w:ascii="Lato Bold;sans-serif" w:hAnsi="Lato Bold;sans-serif"/>
                <w:b/>
                <w:color w:val="0046C8"/>
                <w:sz w:val="36"/>
              </w:rPr>
              <w:t>Say-on-pay</w:t>
            </w:r>
          </w:p>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Advisory approval of our named executive officers’ compensation</w:t>
            </w:r>
          </w:p>
          <w:p>
            <w:pPr>
              <w:pStyle w:val="TableContents"/>
              <w:bidi w:val="0"/>
              <w:spacing w:lineRule="auto" w:line="312" w:before="120" w:after="120"/>
              <w:jc w:val="left"/>
              <w:rPr/>
            </w:pPr>
            <w:r>
              <w:rPr>
                <w:rFonts w:ascii="Lato;sans-serif" w:hAnsi="Lato;sans-serif"/>
                <w:b w:val="false"/>
                <w:color w:val="000000"/>
                <w:sz w:val="19"/>
              </w:rPr>
              <w:t xml:space="preserve">The Board recommends a vote </w:t>
            </w:r>
            <w:r>
              <w:rPr>
                <w:rFonts w:ascii="Lato Bold;sans-serif" w:hAnsi="Lato Bold;sans-serif"/>
                <w:b/>
                <w:color w:val="0046C8"/>
                <w:sz w:val="19"/>
              </w:rPr>
              <w:t>FOR</w:t>
            </w:r>
            <w:r>
              <w:rPr>
                <w:color w:val="000000"/>
              </w:rPr>
              <w:t xml:space="preserve"> </w:t>
            </w:r>
            <w:r>
              <w:rPr>
                <w:rFonts w:ascii="Lato;sans-serif" w:hAnsi="Lato;sans-serif"/>
                <w:b w:val="false"/>
                <w:color w:val="000000"/>
                <w:sz w:val="19"/>
              </w:rPr>
              <w:t>this proposal.  </w:t>
            </w:r>
            <w:r>
              <w:rPr/>
              <w:drawing>
                <wp:inline distT="0" distB="0" distL="0" distR="0">
                  <wp:extent cx="133350" cy="104775"/>
                  <wp:effectExtent l="0" t="0" r="0" b="0"/>
                  <wp:docPr id="10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2" descr=""/>
                          <pic:cNvPicPr>
                            <a:picLocks noChangeAspect="1" noChangeArrowheads="1"/>
                          </pic:cNvPicPr>
                        </pic:nvPicPr>
                        <pic:blipFill>
                          <a:blip r:embed="rId93"/>
                          <a:stretch>
                            <a:fillRect/>
                          </a:stretch>
                        </pic:blipFill>
                        <pic:spPr bwMode="auto">
                          <a:xfrm>
                            <a:off x="0" y="0"/>
                            <a:ext cx="133350" cy="104775"/>
                          </a:xfrm>
                          <a:prstGeom prst="rect">
                            <a:avLst/>
                          </a:prstGeom>
                        </pic:spPr>
                      </pic:pic>
                    </a:graphicData>
                  </a:graphic>
                </wp:inline>
              </w:drawing>
            </w:r>
          </w:p>
        </w:tc>
        <w:tc>
          <w:tcPr>
            <w:tcW w:w="1379" w:type="dxa"/>
            <w:gridSpan w:val="3"/>
            <w:tcBorders/>
            <w:shd w:fill="CCDAF4" w:val="clear"/>
            <w:tcMar>
              <w:top w:w="0" w:type="dxa"/>
              <w:left w:w="0" w:type="dxa"/>
              <w:bottom w:w="0" w:type="dxa"/>
              <w:right w:w="0" w:type="dxa"/>
            </w:tcMar>
            <w:vAlign w:val="center"/>
          </w:tcPr>
          <w:p>
            <w:pPr>
              <w:pStyle w:val="TableContents"/>
              <w:bidi w:val="0"/>
              <w:spacing w:lineRule="auto" w:line="312" w:before="120" w:after="120"/>
              <w:jc w:val="right"/>
              <w:rPr/>
            </w:pPr>
            <w:r>
              <w:rPr>
                <w:rFonts w:ascii="Lato;sans-serif" w:hAnsi="Lato;sans-serif"/>
                <w:b w:val="false"/>
                <w:color w:val="414042"/>
                <w:sz w:val="19"/>
              </w:rPr>
              <w:t>See page</w:t>
            </w:r>
            <w:r>
              <w:rPr>
                <w:color w:val="7891A5"/>
              </w:rPr>
              <w:t xml:space="preserve"> </w:t>
            </w:r>
            <w:hyperlink w:anchor="i00769f51dfdb44b384777a5117e5dd26_127">
              <w:r>
                <w:rPr>
                  <w:rStyle w:val="InternetLink"/>
                  <w:rFonts w:ascii="Lato Bold;sans-serif" w:hAnsi="Lato Bold;sans-serif"/>
                  <w:b/>
                  <w:strike w:val="false"/>
                  <w:dstrike w:val="false"/>
                  <w:color w:val="0046C8"/>
                  <w:sz w:val="19"/>
                  <w:u w:val="none"/>
                  <w:effect w:val="none"/>
                </w:rPr>
                <w:t>49</w:t>
              </w:r>
            </w:hyperlink>
          </w:p>
        </w:tc>
      </w:tr>
      <w:tr>
        <w:trPr/>
        <w:tc>
          <w:tcPr>
            <w:tcW w:w="5693"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16" w:space="0" w:color="0046C8"/>
            </w:tcBorders>
            <w:shd w:fill="CCDAF4"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2024 Performance and Compensation Highlights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Management Development and Compensation Committee of our Board concluded that Kimberly-Clark’s management delivered financial performance in 2024 that was above target from an overall perspective, as reflected in the financial metrics of our annual incentive program.</w:t>
      </w:r>
    </w:p>
    <w:tbl>
      <w:tblPr>
        <w:tblW w:w="5696" w:type="dxa"/>
        <w:jc w:val="left"/>
        <w:tblInd w:w="0" w:type="dxa"/>
        <w:tblLayout w:type="fixed"/>
        <w:tblCellMar>
          <w:top w:w="28" w:type="dxa"/>
          <w:left w:w="28" w:type="dxa"/>
          <w:bottom w:w="28" w:type="dxa"/>
          <w:right w:w="28" w:type="dxa"/>
        </w:tblCellMar>
      </w:tblPr>
      <w:tblGrid>
        <w:gridCol w:w="972"/>
        <w:gridCol w:w="854"/>
        <w:gridCol w:w="858"/>
        <w:gridCol w:w="118"/>
        <w:gridCol w:w="118"/>
        <w:gridCol w:w="118"/>
        <w:gridCol w:w="245"/>
        <w:gridCol w:w="636"/>
        <w:gridCol w:w="294"/>
        <w:gridCol w:w="111"/>
        <w:gridCol w:w="111"/>
        <w:gridCol w:w="111"/>
        <w:gridCol w:w="230"/>
        <w:gridCol w:w="598"/>
        <w:gridCol w:w="322"/>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Performance Measures</w:t>
            </w:r>
          </w:p>
        </w:tc>
        <w:tc>
          <w:tcPr>
            <w:tcW w:w="1529"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2024 Results</w:t>
            </w:r>
          </w:p>
        </w:tc>
        <w:tc>
          <w:tcPr>
            <w:tcW w:w="148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2024 Target</w:t>
            </w:r>
          </w:p>
        </w:tc>
      </w:tr>
      <w:tr>
        <w:trPr/>
        <w:tc>
          <w:tcPr>
            <w:tcW w:w="2684"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Organic sales growth</w:t>
            </w:r>
          </w:p>
        </w:tc>
        <w:tc>
          <w:tcPr>
            <w:tcW w:w="354"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3.2 </w:t>
            </w:r>
          </w:p>
        </w:tc>
        <w:tc>
          <w:tcPr>
            <w:tcW w:w="294"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c>
          <w:tcPr>
            <w:tcW w:w="333"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4.0 </w:t>
            </w:r>
          </w:p>
        </w:tc>
        <w:tc>
          <w:tcPr>
            <w:tcW w:w="322"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r>
      <w:tr>
        <w:trPr/>
        <w:tc>
          <w:tcPr>
            <w:tcW w:w="2684"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Adjusted EPS</w:t>
            </w:r>
          </w:p>
        </w:tc>
        <w:tc>
          <w:tcPr>
            <w:tcW w:w="354"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63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7.36 </w:t>
            </w:r>
          </w:p>
        </w:tc>
        <w:tc>
          <w:tcPr>
            <w:tcW w:w="294"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598"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6.95 </w:t>
            </w:r>
          </w:p>
        </w:tc>
        <w:tc>
          <w:tcPr>
            <w:tcW w:w="322"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i/>
          <w:color w:val="000000"/>
          <w:sz w:val="19"/>
        </w:rPr>
      </w:pPr>
      <w:r>
        <w:rPr>
          <w:rFonts w:ascii="Lato;sans-serif" w:hAnsi="Lato;sans-serif"/>
          <w:b w:val="false"/>
          <w:i/>
          <w:color w:val="000000"/>
          <w:sz w:val="19"/>
        </w:rPr>
        <w:t>Organic sales growth, a non-GAAP measure, consists of sales growth generated from within the company and excluding the impact of currency changes, business exits, and acquisition/divestiture activity. Adjusted EPS, a non-GAAP financial measure, is adjusted earnings per share. For details on how these measures are calculated, see “Compensation Discussion and Analysis - Executive Compensation for 2024, 2024 Performance Goals, Performance Assessments and Payouts” and Appendix A.</w:t>
      </w:r>
    </w:p>
    <w:p>
      <w:pPr>
        <w:pStyle w:val="TextBody"/>
        <w:bidi w:val="0"/>
        <w:spacing w:before="80" w:after="283"/>
        <w:jc w:val="center"/>
        <w:rPr/>
      </w:pPr>
      <w:r>
        <w:rPr/>
        <w:drawing>
          <wp:inline distT="0" distB="0" distL="0" distR="0">
            <wp:extent cx="5295900" cy="2057400"/>
            <wp:effectExtent l="0" t="0" r="0" b="0"/>
            <wp:docPr id="10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3" descr=""/>
                    <pic:cNvPicPr>
                      <a:picLocks noChangeAspect="1" noChangeArrowheads="1"/>
                    </pic:cNvPicPr>
                  </pic:nvPicPr>
                  <pic:blipFill>
                    <a:blip r:embed="rId94"/>
                    <a:stretch>
                      <a:fillRect/>
                    </a:stretch>
                  </pic:blipFill>
                  <pic:spPr bwMode="auto">
                    <a:xfrm>
                      <a:off x="0" y="0"/>
                      <a:ext cx="5295900" cy="2057400"/>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3265"/>
        <w:gridCol w:w="2873"/>
        <w:gridCol w:w="4067"/>
      </w:tblGrid>
      <w:tr>
        <w:trPr/>
        <w:tc>
          <w:tcPr>
            <w:tcW w:w="3265"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6"/>
              </w:rPr>
            </w:pPr>
            <w:r>
              <w:rPr>
                <w:rFonts w:ascii="Lato;sans-serif" w:hAnsi="Lato;sans-serif"/>
                <w:b w:val="false"/>
                <w:color w:val="000000"/>
                <w:sz w:val="16"/>
              </w:rPr>
              <w:t>The chart at left shows the Total Shareholder Return for Kimberly-Clark, our Executive Compensation Peer Group (taken as a whole), and the S&amp;P 500 for the previous five years, which reflects the value returned to our stockholders.</w:t>
            </w:r>
          </w:p>
        </w:tc>
      </w:tr>
    </w:tbl>
    <w:tbl>
      <w:tblPr>
        <w:tblW w:w="9390" w:type="dxa"/>
        <w:jc w:val="center"/>
        <w:tblInd w:w="0" w:type="dxa"/>
        <w:tblLayout w:type="fixed"/>
        <w:tblCellMar>
          <w:top w:w="28" w:type="dxa"/>
          <w:left w:w="28" w:type="dxa"/>
          <w:bottom w:w="28" w:type="dxa"/>
          <w:right w:w="28" w:type="dxa"/>
        </w:tblCellMar>
      </w:tblPr>
      <w:tblGrid>
        <w:gridCol w:w="134"/>
        <w:gridCol w:w="118"/>
        <w:gridCol w:w="119"/>
        <w:gridCol w:w="180"/>
        <w:gridCol w:w="180"/>
        <w:gridCol w:w="181"/>
        <w:gridCol w:w="109"/>
        <w:gridCol w:w="109"/>
        <w:gridCol w:w="109"/>
        <w:gridCol w:w="504"/>
        <w:gridCol w:w="504"/>
        <w:gridCol w:w="506"/>
        <w:gridCol w:w="118"/>
        <w:gridCol w:w="118"/>
        <w:gridCol w:w="120"/>
        <w:gridCol w:w="1114"/>
        <w:gridCol w:w="1114"/>
        <w:gridCol w:w="1117"/>
        <w:gridCol w:w="118"/>
        <w:gridCol w:w="118"/>
        <w:gridCol w:w="120"/>
        <w:gridCol w:w="756"/>
        <w:gridCol w:w="756"/>
        <w:gridCol w:w="1068"/>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133350" cy="76200"/>
                  <wp:effectExtent l="0" t="0" r="0" b="0"/>
                  <wp:docPr id="10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4" descr=""/>
                          <pic:cNvPicPr>
                            <a:picLocks noChangeAspect="1" noChangeArrowheads="1"/>
                          </pic:cNvPicPr>
                        </pic:nvPicPr>
                        <pic:blipFill>
                          <a:blip r:embed="rId95"/>
                          <a:stretch>
                            <a:fillRect/>
                          </a:stretch>
                        </pic:blipFill>
                        <pic:spPr bwMode="auto">
                          <a:xfrm>
                            <a:off x="0" y="0"/>
                            <a:ext cx="133350" cy="76200"/>
                          </a:xfrm>
                          <a:prstGeom prst="rect">
                            <a:avLst/>
                          </a:prstGeom>
                        </pic:spPr>
                      </pic:pic>
                    </a:graphicData>
                  </a:graphic>
                </wp:inline>
              </w:drawing>
            </w: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KMB</w:t>
            </w:r>
          </w:p>
        </w:tc>
        <w:tc>
          <w:tcPr>
            <w:tcW w:w="327"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133350" cy="76200"/>
                  <wp:effectExtent l="0" t="0" r="0" b="0"/>
                  <wp:docPr id="10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5" descr=""/>
                          <pic:cNvPicPr>
                            <a:picLocks noChangeAspect="1" noChangeArrowheads="1"/>
                          </pic:cNvPicPr>
                        </pic:nvPicPr>
                        <pic:blipFill>
                          <a:blip r:embed="rId96"/>
                          <a:stretch>
                            <a:fillRect/>
                          </a:stretch>
                        </pic:blipFill>
                        <pic:spPr bwMode="auto">
                          <a:xfrm>
                            <a:off x="0" y="0"/>
                            <a:ext cx="133350" cy="76200"/>
                          </a:xfrm>
                          <a:prstGeom prst="rect">
                            <a:avLst/>
                          </a:prstGeom>
                        </pic:spPr>
                      </pic:pic>
                    </a:graphicData>
                  </a:graphic>
                </wp:inline>
              </w:drawing>
            </w:r>
          </w:p>
        </w:tc>
        <w:tc>
          <w:tcPr>
            <w:tcW w:w="151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S&amp;P 500 Index</w:t>
            </w:r>
          </w:p>
        </w:tc>
        <w:tc>
          <w:tcPr>
            <w:tcW w:w="356"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133350" cy="76200"/>
                  <wp:effectExtent l="0" t="0" r="0" b="0"/>
                  <wp:docPr id="11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6" descr=""/>
                          <pic:cNvPicPr>
                            <a:picLocks noChangeAspect="1" noChangeArrowheads="1"/>
                          </pic:cNvPicPr>
                        </pic:nvPicPr>
                        <pic:blipFill>
                          <a:blip r:embed="rId97"/>
                          <a:stretch>
                            <a:fillRect/>
                          </a:stretch>
                        </pic:blipFill>
                        <pic:spPr bwMode="auto">
                          <a:xfrm>
                            <a:off x="0" y="0"/>
                            <a:ext cx="133350" cy="76200"/>
                          </a:xfrm>
                          <a:prstGeom prst="rect">
                            <a:avLst/>
                          </a:prstGeom>
                        </pic:spPr>
                      </pic:pic>
                    </a:graphicData>
                  </a:graphic>
                </wp:inline>
              </w:drawing>
            </w:r>
            <w:r>
              <w:rPr>
                <w:color w:val="000000"/>
              </w:rPr>
              <w:t> </w:t>
            </w:r>
          </w:p>
        </w:tc>
        <w:tc>
          <w:tcPr>
            <w:tcW w:w="334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S&amp;P 500 Consumer Staples Index</w:t>
            </w:r>
          </w:p>
        </w:tc>
        <w:tc>
          <w:tcPr>
            <w:tcW w:w="356"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133350" cy="76200"/>
                  <wp:effectExtent l="0" t="0" r="0" b="0"/>
                  <wp:docPr id="11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7" descr=""/>
                          <pic:cNvPicPr>
                            <a:picLocks noChangeAspect="1" noChangeArrowheads="1"/>
                          </pic:cNvPicPr>
                        </pic:nvPicPr>
                        <pic:blipFill>
                          <a:blip r:embed="rId98"/>
                          <a:stretch>
                            <a:fillRect/>
                          </a:stretch>
                        </pic:blipFill>
                        <pic:spPr bwMode="auto">
                          <a:xfrm>
                            <a:off x="0" y="0"/>
                            <a:ext cx="133350" cy="76200"/>
                          </a:xfrm>
                          <a:prstGeom prst="rect">
                            <a:avLst/>
                          </a:prstGeom>
                        </pic:spPr>
                      </pic:pic>
                    </a:graphicData>
                  </a:graphic>
                </wp:inline>
              </w:drawing>
            </w:r>
          </w:p>
        </w:tc>
        <w:tc>
          <w:tcPr>
            <w:tcW w:w="25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Peer Companies (dotted)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629920"/>
                <wp:effectExtent l="0" t="0" r="0" b="0"/>
                <wp:wrapNone/>
                <wp:docPr id="112" name="Frame1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47" w:type="dxa"/>
                              <w:jc w:val="right"/>
                              <w:tblInd w:w="0" w:type="dxa"/>
                              <w:tblLayout w:type="fixed"/>
                              <w:tblCellMar>
                                <w:top w:w="28" w:type="dxa"/>
                                <w:left w:w="28" w:type="dxa"/>
                                <w:bottom w:w="28" w:type="dxa"/>
                                <w:right w:w="28" w:type="dxa"/>
                              </w:tblCellMar>
                            </w:tblPr>
                            <w:tblGrid>
                              <w:gridCol w:w="787"/>
                              <w:gridCol w:w="692"/>
                              <w:gridCol w:w="696"/>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47" w:type="dxa"/>
                        <w:jc w:val="right"/>
                        <w:tblInd w:w="0" w:type="dxa"/>
                        <w:tblLayout w:type="fixed"/>
                        <w:tblCellMar>
                          <w:top w:w="28" w:type="dxa"/>
                          <w:left w:w="28" w:type="dxa"/>
                          <w:bottom w:w="28" w:type="dxa"/>
                          <w:right w:w="28" w:type="dxa"/>
                        </w:tblCellMar>
                      </w:tblPr>
                      <w:tblGrid>
                        <w:gridCol w:w="787"/>
                        <w:gridCol w:w="692"/>
                        <w:gridCol w:w="696"/>
                        <w:gridCol w:w="109"/>
                        <w:gridCol w:w="109"/>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9</w:t>
                            </w:r>
                          </w:p>
                        </w:tc>
                      </w:tr>
                    </w:tbl>
                    <w:p>
                      <w:pPr>
                        <w:pStyle w:val="TextBody"/>
                        <w:bidi w:val="0"/>
                        <w:spacing w:before="0" w:after="283"/>
                        <w:jc w:val="left"/>
                        <w:rPr/>
                      </w:pPr>
                      <w:r>
                        <w:rPr/>
                      </w:r>
                    </w:p>
                  </w:txbxContent>
                </v:textbox>
                <w10:wrap type="none"/>
              </v:rect>
            </w:pict>
          </mc:Fallback>
        </mc:AlternateContent>
      </w:r>
    </w:p>
    <w:tbl>
      <w:tblPr>
        <w:tblW w:w="1825" w:type="dxa"/>
        <w:jc w:val="left"/>
        <w:tblInd w:w="0" w:type="dxa"/>
        <w:tblLayout w:type="fixed"/>
        <w:tblCellMar>
          <w:top w:w="28" w:type="dxa"/>
          <w:left w:w="28" w:type="dxa"/>
          <w:bottom w:w="28" w:type="dxa"/>
          <w:right w:w="28" w:type="dxa"/>
        </w:tblCellMar>
      </w:tblPr>
      <w:tblGrid>
        <w:gridCol w:w="461"/>
        <w:gridCol w:w="405"/>
        <w:gridCol w:w="408"/>
        <w:gridCol w:w="161"/>
        <w:gridCol w:w="161"/>
        <w:gridCol w:w="229"/>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Proxy summary</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11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8" descr=""/>
                          <pic:cNvPicPr>
                            <a:picLocks noChangeAspect="1" noChangeArrowheads="1"/>
                          </pic:cNvPicPr>
                        </pic:nvPicPr>
                        <pic:blipFill>
                          <a:blip r:embed="rId99"/>
                          <a:stretch>
                            <a:fillRect/>
                          </a:stretch>
                        </pic:blipFill>
                        <pic:spPr bwMode="auto">
                          <a:xfrm>
                            <a:off x="0" y="0"/>
                            <a:ext cx="228600" cy="180975"/>
                          </a:xfrm>
                          <a:prstGeom prst="rect">
                            <a:avLst/>
                          </a:prstGeom>
                        </pic:spPr>
                      </pic:pic>
                    </a:graphicData>
                  </a:graphic>
                </wp:inline>
              </w:drawing>
            </w:r>
            <w:r>
              <w:rPr>
                <w:color w:val="000000"/>
              </w:rPr>
              <w:t> </w:t>
            </w:r>
          </w:p>
        </w:tc>
      </w:tr>
      <w:tr>
        <w:trPr/>
        <w:tc>
          <w:tcPr>
            <w:tcW w:w="12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Compensation Governance Highlights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compensation program for executive officers is designed to emphasize performance-based compensation in alignment with our business strategy.</w:t>
      </w:r>
    </w:p>
    <w:tbl>
      <w:tblPr>
        <w:tblW w:w="10205" w:type="dxa"/>
        <w:jc w:val="left"/>
        <w:tblInd w:w="0" w:type="dxa"/>
        <w:tblLayout w:type="fixed"/>
        <w:tblCellMar>
          <w:top w:w="28" w:type="dxa"/>
          <w:left w:w="28" w:type="dxa"/>
          <w:bottom w:w="28" w:type="dxa"/>
          <w:right w:w="28" w:type="dxa"/>
        </w:tblCellMar>
      </w:tblPr>
      <w:tblGrid>
        <w:gridCol w:w="2292"/>
        <w:gridCol w:w="1856"/>
        <w:gridCol w:w="1794"/>
        <w:gridCol w:w="109"/>
        <w:gridCol w:w="109"/>
        <w:gridCol w:w="109"/>
        <w:gridCol w:w="1149"/>
        <w:gridCol w:w="1149"/>
        <w:gridCol w:w="1638"/>
      </w:tblGrid>
      <w:tr>
        <w:trPr/>
        <w:tc>
          <w:tcPr>
            <w:tcW w:w="2292"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5942" w:type="dxa"/>
            <w:gridSpan w:val="3"/>
            <w:tcBorders/>
            <w:shd w:fill="00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3"/>
            <w:tcBorders/>
            <w:shd w:fill="CCDA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2" w:type="dxa"/>
            <w:gridSpan w:val="3"/>
            <w:tcBorders/>
            <w:shd w:fill="0046C8"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FFFFFF"/>
                <w:sz w:val="28"/>
              </w:rPr>
            </w:pPr>
            <w:r>
              <w:rPr>
                <w:rFonts w:ascii="Lato Bold;sans-serif" w:hAnsi="Lato Bold;sans-serif"/>
                <w:b/>
                <w:color w:val="FFFFFF"/>
                <w:sz w:val="28"/>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3"/>
            <w:tcBorders/>
            <w:shd w:fill="CCDAF4"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28"/>
              </w:rPr>
            </w:pPr>
            <w:r>
              <w:rPr>
                <w:rFonts w:ascii="Lato Bold;sans-serif" w:hAnsi="Lato Bold;sans-serif"/>
                <w:b/>
                <w:color w:val="000000"/>
                <w:sz w:val="28"/>
              </w:rPr>
              <w:t>What We Do Not Do</w:t>
            </w:r>
          </w:p>
        </w:tc>
      </w:tr>
      <w:tr>
        <w:trPr/>
        <w:tc>
          <w:tcPr>
            <w:tcW w:w="5942" w:type="dxa"/>
            <w:gridSpan w:val="3"/>
            <w:tcBorders/>
            <w:shd w:fill="0046C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3"/>
            <w:tcBorders/>
            <w:shd w:fill="CCDA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2" w:type="dxa"/>
            <w:gridSpan w:val="3"/>
            <w:tcBorders/>
            <w:tcMar>
              <w:top w:w="0" w:type="dxa"/>
              <w:left w:w="0" w:type="dxa"/>
              <w:bottom w:w="0" w:type="dxa"/>
              <w:right w:w="0" w:type="dxa"/>
            </w:tcMar>
            <w:vAlign w:val="center"/>
          </w:tcPr>
          <w:p>
            <w:pPr>
              <w:pStyle w:val="TableContents"/>
              <w:bidi w:val="0"/>
              <w:spacing w:lineRule="auto" w:line="312" w:before="80" w:after="80"/>
              <w:ind w:left="0" w:right="0" w:hanging="331"/>
              <w:jc w:val="left"/>
              <w:rPr/>
            </w:pPr>
            <w:r>
              <w:rPr/>
              <w:drawing>
                <wp:inline distT="0" distB="0" distL="0" distR="0">
                  <wp:extent cx="104775" cy="85725"/>
                  <wp:effectExtent l="0" t="0" r="0" b="0"/>
                  <wp:docPr id="11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9" descr=""/>
                          <pic:cNvPicPr>
                            <a:picLocks noChangeAspect="1" noChangeArrowheads="1"/>
                          </pic:cNvPicPr>
                        </pic:nvPicPr>
                        <pic:blipFill>
                          <a:blip r:embed="rId100"/>
                          <a:stretch>
                            <a:fillRect/>
                          </a:stretch>
                        </pic:blipFill>
                        <pic:spPr bwMode="auto">
                          <a:xfrm>
                            <a:off x="0" y="0"/>
                            <a:ext cx="104775" cy="85725"/>
                          </a:xfrm>
                          <a:prstGeom prst="rect">
                            <a:avLst/>
                          </a:prstGeom>
                        </pic:spPr>
                      </pic:pic>
                    </a:graphicData>
                  </a:graphic>
                </wp:inline>
              </w:drawing>
            </w:r>
            <w:r>
              <w:rPr>
                <w:color w:val="000000"/>
              </w:rPr>
              <w:t>   </w:t>
            </w:r>
            <w:r>
              <w:rPr>
                <w:rFonts w:ascii="Lato;sans-serif" w:hAnsi="Lato;sans-serif"/>
                <w:b w:val="false"/>
                <w:color w:val="000000"/>
                <w:sz w:val="19"/>
              </w:rPr>
              <w:t>A substantial majority of pay is at-risk and a majority is tied to our stock price performance</w:t>
            </w:r>
          </w:p>
          <w:p>
            <w:pPr>
              <w:pStyle w:val="TableContents"/>
              <w:bidi w:val="0"/>
              <w:spacing w:lineRule="auto" w:line="312" w:before="80" w:after="80"/>
              <w:ind w:left="0" w:right="0" w:hanging="331"/>
              <w:jc w:val="left"/>
              <w:rPr/>
            </w:pPr>
            <w:r>
              <w:rPr/>
              <w:drawing>
                <wp:inline distT="0" distB="0" distL="0" distR="0">
                  <wp:extent cx="104775" cy="85725"/>
                  <wp:effectExtent l="0" t="0" r="0" b="0"/>
                  <wp:docPr id="11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0" descr=""/>
                          <pic:cNvPicPr>
                            <a:picLocks noChangeAspect="1" noChangeArrowheads="1"/>
                          </pic:cNvPicPr>
                        </pic:nvPicPr>
                        <pic:blipFill>
                          <a:blip r:embed="rId101"/>
                          <a:stretch>
                            <a:fillRect/>
                          </a:stretch>
                        </pic:blipFill>
                        <pic:spPr bwMode="auto">
                          <a:xfrm>
                            <a:off x="0" y="0"/>
                            <a:ext cx="104775" cy="85725"/>
                          </a:xfrm>
                          <a:prstGeom prst="rect">
                            <a:avLst/>
                          </a:prstGeom>
                        </pic:spPr>
                      </pic:pic>
                    </a:graphicData>
                  </a:graphic>
                </wp:inline>
              </w:drawing>
            </w:r>
            <w:r>
              <w:rPr>
                <w:color w:val="000000"/>
              </w:rPr>
              <w:t>   </w:t>
            </w:r>
            <w:r>
              <w:rPr>
                <w:rFonts w:ascii="Lato;sans-serif" w:hAnsi="Lato;sans-serif"/>
                <w:b w:val="false"/>
                <w:color w:val="000000"/>
                <w:sz w:val="19"/>
              </w:rPr>
              <w:t>A substantial majority of long-term equity compensation is subject to specified financial targets over a three-year performance period</w:t>
            </w:r>
          </w:p>
          <w:p>
            <w:pPr>
              <w:pStyle w:val="TableContents"/>
              <w:bidi w:val="0"/>
              <w:spacing w:lineRule="auto" w:line="312" w:before="80" w:after="80"/>
              <w:ind w:left="0" w:right="0" w:hanging="331"/>
              <w:jc w:val="left"/>
              <w:rPr/>
            </w:pPr>
            <w:r>
              <w:rPr/>
              <w:drawing>
                <wp:inline distT="0" distB="0" distL="0" distR="0">
                  <wp:extent cx="104775" cy="85725"/>
                  <wp:effectExtent l="0" t="0" r="0" b="0"/>
                  <wp:docPr id="11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1" descr=""/>
                          <pic:cNvPicPr>
                            <a:picLocks noChangeAspect="1" noChangeArrowheads="1"/>
                          </pic:cNvPicPr>
                        </pic:nvPicPr>
                        <pic:blipFill>
                          <a:blip r:embed="rId102"/>
                          <a:stretch>
                            <a:fillRect/>
                          </a:stretch>
                        </pic:blipFill>
                        <pic:spPr bwMode="auto">
                          <a:xfrm>
                            <a:off x="0" y="0"/>
                            <a:ext cx="104775" cy="85725"/>
                          </a:xfrm>
                          <a:prstGeom prst="rect">
                            <a:avLst/>
                          </a:prstGeom>
                        </pic:spPr>
                      </pic:pic>
                    </a:graphicData>
                  </a:graphic>
                </wp:inline>
              </w:drawing>
            </w:r>
            <w:r>
              <w:rPr>
                <w:color w:val="000000"/>
              </w:rPr>
              <w:t>   </w:t>
            </w:r>
            <w:r>
              <w:rPr>
                <w:rFonts w:ascii="Lato;sans-serif" w:hAnsi="Lato;sans-serif"/>
                <w:b w:val="false"/>
                <w:color w:val="000000"/>
                <w:sz w:val="19"/>
              </w:rPr>
              <w:t>Strong share ownership guidelines</w:t>
            </w:r>
          </w:p>
          <w:p>
            <w:pPr>
              <w:pStyle w:val="TableContents"/>
              <w:bidi w:val="0"/>
              <w:spacing w:lineRule="auto" w:line="312" w:before="80" w:after="80"/>
              <w:ind w:left="0" w:right="0" w:hanging="331"/>
              <w:jc w:val="left"/>
              <w:rPr/>
            </w:pPr>
            <w:r>
              <w:rPr/>
              <w:drawing>
                <wp:inline distT="0" distB="0" distL="0" distR="0">
                  <wp:extent cx="104775" cy="85725"/>
                  <wp:effectExtent l="0" t="0" r="0" b="0"/>
                  <wp:docPr id="11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2" descr=""/>
                          <pic:cNvPicPr>
                            <a:picLocks noChangeAspect="1" noChangeArrowheads="1"/>
                          </pic:cNvPicPr>
                        </pic:nvPicPr>
                        <pic:blipFill>
                          <a:blip r:embed="rId103"/>
                          <a:stretch>
                            <a:fillRect/>
                          </a:stretch>
                        </pic:blipFill>
                        <pic:spPr bwMode="auto">
                          <a:xfrm>
                            <a:off x="0" y="0"/>
                            <a:ext cx="104775" cy="85725"/>
                          </a:xfrm>
                          <a:prstGeom prst="rect">
                            <a:avLst/>
                          </a:prstGeom>
                        </pic:spPr>
                      </pic:pic>
                    </a:graphicData>
                  </a:graphic>
                </wp:inline>
              </w:drawing>
            </w:r>
            <w:r>
              <w:rPr>
                <w:color w:val="000000"/>
              </w:rPr>
              <w:t>   </w:t>
            </w:r>
            <w:r>
              <w:rPr>
                <w:rFonts w:ascii="Lato;sans-serif" w:hAnsi="Lato;sans-serif"/>
                <w:b w:val="false"/>
                <w:color w:val="000000"/>
                <w:sz w:val="19"/>
              </w:rPr>
              <w:t>Anti-hedging and anti-pledging policy</w:t>
            </w:r>
          </w:p>
          <w:p>
            <w:pPr>
              <w:pStyle w:val="TableContents"/>
              <w:bidi w:val="0"/>
              <w:spacing w:lineRule="auto" w:line="312" w:before="80" w:after="80"/>
              <w:ind w:left="0" w:right="0" w:hanging="331"/>
              <w:jc w:val="left"/>
              <w:rPr/>
            </w:pPr>
            <w:r>
              <w:rPr/>
              <w:drawing>
                <wp:inline distT="0" distB="0" distL="0" distR="0">
                  <wp:extent cx="104775" cy="85725"/>
                  <wp:effectExtent l="0" t="0" r="0" b="0"/>
                  <wp:docPr id="11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3" descr=""/>
                          <pic:cNvPicPr>
                            <a:picLocks noChangeAspect="1" noChangeArrowheads="1"/>
                          </pic:cNvPicPr>
                        </pic:nvPicPr>
                        <pic:blipFill>
                          <a:blip r:embed="rId104"/>
                          <a:stretch>
                            <a:fillRect/>
                          </a:stretch>
                        </pic:blipFill>
                        <pic:spPr bwMode="auto">
                          <a:xfrm>
                            <a:off x="0" y="0"/>
                            <a:ext cx="104775" cy="85725"/>
                          </a:xfrm>
                          <a:prstGeom prst="rect">
                            <a:avLst/>
                          </a:prstGeom>
                        </pic:spPr>
                      </pic:pic>
                    </a:graphicData>
                  </a:graphic>
                </wp:inline>
              </w:drawing>
            </w:r>
            <w:r>
              <w:rPr>
                <w:color w:val="000000"/>
              </w:rPr>
              <w:t xml:space="preserve">   </w:t>
            </w:r>
            <w:r>
              <w:rPr>
                <w:rFonts w:ascii="Lato;sans-serif" w:hAnsi="Lato;sans-serif"/>
                <w:b w:val="false"/>
                <w:color w:val="000000"/>
                <w:sz w:val="19"/>
              </w:rPr>
              <w:t>Robust clawback structure</w:t>
            </w:r>
          </w:p>
          <w:p>
            <w:pPr>
              <w:pStyle w:val="TableContents"/>
              <w:bidi w:val="0"/>
              <w:spacing w:lineRule="auto" w:line="312" w:before="80" w:after="80"/>
              <w:ind w:left="0" w:right="0" w:hanging="331"/>
              <w:jc w:val="left"/>
              <w:rPr/>
            </w:pPr>
            <w:r>
              <w:rPr/>
              <w:drawing>
                <wp:inline distT="0" distB="0" distL="0" distR="0">
                  <wp:extent cx="104775" cy="85725"/>
                  <wp:effectExtent l="0" t="0" r="0" b="0"/>
                  <wp:docPr id="11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4" descr=""/>
                          <pic:cNvPicPr>
                            <a:picLocks noChangeAspect="1" noChangeArrowheads="1"/>
                          </pic:cNvPicPr>
                        </pic:nvPicPr>
                        <pic:blipFill>
                          <a:blip r:embed="rId105"/>
                          <a:stretch>
                            <a:fillRect/>
                          </a:stretch>
                        </pic:blipFill>
                        <pic:spPr bwMode="auto">
                          <a:xfrm>
                            <a:off x="0" y="0"/>
                            <a:ext cx="104775" cy="85725"/>
                          </a:xfrm>
                          <a:prstGeom prst="rect">
                            <a:avLst/>
                          </a:prstGeom>
                        </pic:spPr>
                      </pic:pic>
                    </a:graphicData>
                  </a:graphic>
                </wp:inline>
              </w:drawing>
            </w:r>
            <w:r>
              <w:rPr>
                <w:color w:val="000000"/>
              </w:rPr>
              <w:t xml:space="preserve">   </w:t>
            </w:r>
            <w:r>
              <w:rPr>
                <w:rFonts w:ascii="Lato;sans-serif" w:hAnsi="Lato;sans-serif"/>
                <w:b w:val="false"/>
                <w:color w:val="000000"/>
                <w:sz w:val="19"/>
              </w:rPr>
              <w:t>Double-trigger change-in-control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3"/>
            <w:tcBorders/>
            <w:tcMar>
              <w:top w:w="0" w:type="dxa"/>
              <w:left w:w="0" w:type="dxa"/>
              <w:bottom w:w="0" w:type="dxa"/>
              <w:right w:w="0" w:type="dxa"/>
            </w:tcMar>
            <w:vAlign w:val="center"/>
          </w:tcPr>
          <w:p>
            <w:pPr>
              <w:pStyle w:val="TableContents"/>
              <w:bidi w:val="0"/>
              <w:spacing w:lineRule="auto" w:line="312" w:before="120" w:after="120"/>
              <w:ind w:left="0" w:right="0" w:hanging="270"/>
              <w:jc w:val="left"/>
              <w:rPr/>
            </w:pPr>
            <w:r>
              <w:rPr/>
              <w:drawing>
                <wp:inline distT="0" distB="0" distL="0" distR="0">
                  <wp:extent cx="85725" cy="85725"/>
                  <wp:effectExtent l="0" t="0" r="0" b="0"/>
                  <wp:docPr id="12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5" descr=""/>
                          <pic:cNvPicPr>
                            <a:picLocks noChangeAspect="1" noChangeArrowheads="1"/>
                          </pic:cNvPicPr>
                        </pic:nvPicPr>
                        <pic:blipFill>
                          <a:blip r:embed="rId106"/>
                          <a:stretch>
                            <a:fillRect/>
                          </a:stretch>
                        </pic:blipFill>
                        <pic:spPr bwMode="auto">
                          <a:xfrm>
                            <a:off x="0" y="0"/>
                            <a:ext cx="85725" cy="85725"/>
                          </a:xfrm>
                          <a:prstGeom prst="rect">
                            <a:avLst/>
                          </a:prstGeom>
                        </pic:spPr>
                      </pic:pic>
                    </a:graphicData>
                  </a:graphic>
                </wp:inline>
              </w:drawing>
            </w:r>
            <w:r>
              <w:rPr>
                <w:color w:val="000000"/>
              </w:rPr>
              <w:t>  </w:t>
            </w:r>
            <w:r>
              <w:rPr>
                <w:rFonts w:ascii="Lato;sans-serif" w:hAnsi="Lato;sans-serif"/>
                <w:b w:val="false"/>
                <w:color w:val="000000"/>
                <w:sz w:val="19"/>
              </w:rPr>
              <w:t>No excise tax gross-ups upon change of control</w:t>
            </w:r>
          </w:p>
          <w:p>
            <w:pPr>
              <w:pStyle w:val="TableContents"/>
              <w:bidi w:val="0"/>
              <w:spacing w:lineRule="auto" w:line="312" w:before="80" w:after="80"/>
              <w:ind w:left="0" w:right="0" w:hanging="317"/>
              <w:jc w:val="left"/>
              <w:rPr/>
            </w:pPr>
            <w:r>
              <w:rPr/>
              <w:drawing>
                <wp:inline distT="0" distB="0" distL="0" distR="0">
                  <wp:extent cx="85725" cy="85725"/>
                  <wp:effectExtent l="0" t="0" r="0" b="0"/>
                  <wp:docPr id="12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6" descr=""/>
                          <pic:cNvPicPr>
                            <a:picLocks noChangeAspect="1" noChangeArrowheads="1"/>
                          </pic:cNvPicPr>
                        </pic:nvPicPr>
                        <pic:blipFill>
                          <a:blip r:embed="rId107"/>
                          <a:stretch>
                            <a:fillRect/>
                          </a:stretch>
                        </pic:blipFill>
                        <pic:spPr bwMode="auto">
                          <a:xfrm>
                            <a:off x="0" y="0"/>
                            <a:ext cx="85725" cy="85725"/>
                          </a:xfrm>
                          <a:prstGeom prst="rect">
                            <a:avLst/>
                          </a:prstGeom>
                        </pic:spPr>
                      </pic:pic>
                    </a:graphicData>
                  </a:graphic>
                </wp:inline>
              </w:drawing>
            </w:r>
            <w:r>
              <w:rPr>
                <w:color w:val="000000"/>
              </w:rPr>
              <w:t>  </w:t>
            </w:r>
            <w:r>
              <w:rPr>
                <w:rFonts w:ascii="Lato;sans-serif" w:hAnsi="Lato;sans-serif"/>
                <w:b w:val="false"/>
                <w:color w:val="000000"/>
                <w:sz w:val="19"/>
              </w:rPr>
              <w:t>No excessive perquisites for executives</w:t>
            </w:r>
          </w:p>
          <w:p>
            <w:pPr>
              <w:pStyle w:val="TableContents"/>
              <w:bidi w:val="0"/>
              <w:spacing w:lineRule="auto" w:line="312" w:before="80" w:after="80"/>
              <w:ind w:left="0" w:right="0" w:hanging="317"/>
              <w:jc w:val="left"/>
              <w:rPr/>
            </w:pPr>
            <w:r>
              <w:rPr/>
              <w:drawing>
                <wp:inline distT="0" distB="0" distL="0" distR="0">
                  <wp:extent cx="85725" cy="85725"/>
                  <wp:effectExtent l="0" t="0" r="0" b="0"/>
                  <wp:docPr id="12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7" descr=""/>
                          <pic:cNvPicPr>
                            <a:picLocks noChangeAspect="1" noChangeArrowheads="1"/>
                          </pic:cNvPicPr>
                        </pic:nvPicPr>
                        <pic:blipFill>
                          <a:blip r:embed="rId108"/>
                          <a:stretch>
                            <a:fillRect/>
                          </a:stretch>
                        </pic:blipFill>
                        <pic:spPr bwMode="auto">
                          <a:xfrm>
                            <a:off x="0" y="0"/>
                            <a:ext cx="85725" cy="85725"/>
                          </a:xfrm>
                          <a:prstGeom prst="rect">
                            <a:avLst/>
                          </a:prstGeom>
                        </pic:spPr>
                      </pic:pic>
                    </a:graphicData>
                  </a:graphic>
                </wp:inline>
              </w:drawing>
            </w:r>
            <w:r>
              <w:rPr>
                <w:color w:val="000000"/>
              </w:rPr>
              <w:t>  </w:t>
            </w:r>
            <w:r>
              <w:rPr>
                <w:rFonts w:ascii="Lato;sans-serif" w:hAnsi="Lato;sans-serif"/>
                <w:b w:val="false"/>
                <w:color w:val="000000"/>
                <w:sz w:val="19"/>
              </w:rPr>
              <w:t>No repricing of underwater stock options without stockholder approval</w:t>
            </w:r>
          </w:p>
          <w:p>
            <w:pPr>
              <w:pStyle w:val="TableContents"/>
              <w:bidi w:val="0"/>
              <w:spacing w:lineRule="auto" w:line="312" w:before="80" w:after="80"/>
              <w:ind w:left="0" w:right="0" w:hanging="317"/>
              <w:jc w:val="left"/>
              <w:rPr/>
            </w:pPr>
            <w:r>
              <w:rPr/>
              <w:drawing>
                <wp:inline distT="0" distB="0" distL="0" distR="0">
                  <wp:extent cx="85725" cy="85725"/>
                  <wp:effectExtent l="0" t="0" r="0" b="0"/>
                  <wp:docPr id="12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8" descr=""/>
                          <pic:cNvPicPr>
                            <a:picLocks noChangeAspect="1" noChangeArrowheads="1"/>
                          </pic:cNvPicPr>
                        </pic:nvPicPr>
                        <pic:blipFill>
                          <a:blip r:embed="rId109"/>
                          <a:stretch>
                            <a:fillRect/>
                          </a:stretch>
                        </pic:blipFill>
                        <pic:spPr bwMode="auto">
                          <a:xfrm>
                            <a:off x="0" y="0"/>
                            <a:ext cx="85725" cy="85725"/>
                          </a:xfrm>
                          <a:prstGeom prst="rect">
                            <a:avLst/>
                          </a:prstGeom>
                        </pic:spPr>
                      </pic:pic>
                    </a:graphicData>
                  </a:graphic>
                </wp:inline>
              </w:drawing>
            </w:r>
            <w:r>
              <w:rPr>
                <w:color w:val="000000"/>
              </w:rPr>
              <w:t>  </w:t>
            </w:r>
            <w:r>
              <w:rPr>
                <w:rFonts w:ascii="Lato;sans-serif" w:hAnsi="Lato;sans-serif"/>
                <w:b w:val="false"/>
                <w:color w:val="000000"/>
                <w:sz w:val="19"/>
              </w:rPr>
              <w:t>No payment of dividends or dividend equivalents until restricted share units are earned</w:t>
            </w:r>
          </w:p>
        </w:tc>
      </w:tr>
      <w:tr>
        <w:trPr/>
        <w:tc>
          <w:tcPr>
            <w:tcW w:w="5942"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3"/>
            <w:tcBorders>
              <w:bottom w:val="single" w:sz="8" w:space="0" w:color="CCDAF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629920"/>
                <wp:effectExtent l="0" t="0" r="0" b="0"/>
                <wp:wrapNone/>
                <wp:docPr id="124" name="Frame1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10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10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893" w:type="dxa"/>
        <w:jc w:val="left"/>
        <w:tblInd w:w="0" w:type="dxa"/>
        <w:tblLayout w:type="fixed"/>
        <w:tblCellMar>
          <w:top w:w="28" w:type="dxa"/>
          <w:left w:w="28" w:type="dxa"/>
          <w:bottom w:w="28" w:type="dxa"/>
          <w:right w:w="28" w:type="dxa"/>
        </w:tblCellMar>
      </w:tblPr>
      <w:tblGrid>
        <w:gridCol w:w="188"/>
        <w:gridCol w:w="166"/>
        <w:gridCol w:w="16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12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9" descr=""/>
                          <pic:cNvPicPr>
                            <a:picLocks noChangeAspect="1" noChangeArrowheads="1"/>
                          </pic:cNvPicPr>
                        </pic:nvPicPr>
                        <pic:blipFill>
                          <a:blip r:embed="rId110"/>
                          <a:stretch>
                            <a:fillRect/>
                          </a:stretch>
                        </pic:blipFill>
                        <pic:spPr bwMode="auto">
                          <a:xfrm>
                            <a:off x="0" y="0"/>
                            <a:ext cx="228600" cy="180975"/>
                          </a:xfrm>
                          <a:prstGeom prst="rect">
                            <a:avLst/>
                          </a:prstGeom>
                        </pic:spPr>
                      </pic:pic>
                    </a:graphicData>
                  </a:graphic>
                </wp:inline>
              </w:drawing>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120"/>
        <w:jc w:val="left"/>
        <w:rPr>
          <w:rFonts w:ascii="Lato;sans-serif" w:hAnsi="Lato;sans-serif"/>
          <w:b w:val="false"/>
          <w:color w:val="0046C8"/>
          <w:sz w:val="48"/>
        </w:rPr>
      </w:pPr>
      <w:r>
        <w:rPr>
          <w:rFonts w:ascii="Lato;sans-serif" w:hAnsi="Lato;sans-serif"/>
          <w:b w:val="false"/>
          <w:color w:val="0046C8"/>
          <w:sz w:val="48"/>
        </w:rPr>
        <w:t>Corporate Governance</w:t>
      </w:r>
    </w:p>
    <w:p>
      <w:pPr>
        <w:pStyle w:val="TextBody"/>
        <w:bidi w:val="0"/>
        <w:spacing w:lineRule="auto" w:line="312" w:before="120" w:after="120"/>
        <w:jc w:val="left"/>
        <w:rPr/>
      </w:pPr>
      <w:r>
        <w:rPr>
          <w:rFonts w:ascii="Lato;sans-serif" w:hAnsi="Lato;sans-serif"/>
          <w:b w:val="false"/>
          <w:color w:val="000000"/>
          <w:sz w:val="19"/>
        </w:rPr>
        <w:t xml:space="preserve">Our governance structure and processes are based on a number of important governance documents including our Code of Conduct, Certificate of Incorporation, Corporate By-Laws, Corporate Governance Policies, and our Board Committee Charters. These documents, which are available in the Investors section of our website at </w:t>
      </w:r>
      <w:r>
        <w:rPr>
          <w:rFonts w:ascii="Lato;sans-serif" w:hAnsi="Lato;sans-serif"/>
          <w:b/>
          <w:color w:val="000000"/>
          <w:sz w:val="19"/>
        </w:rPr>
        <w:t>www.kimberly-clark.com</w:t>
      </w:r>
      <w:r>
        <w:rPr>
          <w:rFonts w:ascii="Lato;sans-serif" w:hAnsi="Lato;sans-serif"/>
          <w:b w:val="false"/>
          <w:color w:val="000000"/>
          <w:sz w:val="19"/>
        </w:rPr>
        <w:t xml:space="preserve">, guide the Board and our management in the execution of their responsibilities.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Kimberly-Clark believes that there is a direct connection between good corporate governance and long-term, sustained business success, and we believe it is important to uphold sound governance practices. As such, the Board reviews its governance practices and documents on an ongoing basis, considering changing regulatory requirements, governance trends, and issues raised by our stockholders. After careful evaluation, we may periodically make changes to maintain or enhance current governance practices and promote stockholder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Board Leadership Structure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The Board has established a leadership structure that allocates responsibilities between our Chairman of the Board and CEO and our Lead Director. The Board believes that this allocation provides for dynamic Board leadership while maintaining strong independence and oversight.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Consistent with this leadership structure, at least once a quarter our Lead Director, who is an independent director, chairs executive sessions of our non-management directors. Members of our senior management team do not attend these sessions. </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Chairman and CEO Positions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Board’s current view is that a combined Chairman and CEO position, coupled with a predominantly independent board and a proactive, independent Lead Director, promotes candid discourse and responsible corporate governance. Mr. Hsu serves as Chairman of the Board and CEO. The Board believes Mr. Hsu has demonstrated the leadership and strategic vision necessary to lead the Board and Kimberly-Clark. Accordingly, Mr. Hsu serves in this combined role at the pleasure of the Board without an employment contract. As Mr. Hsu is not an independent director, the Board continues to believe it is appropriate for the independent directors to elect an Independent Lead Director.</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Lead Director</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Ms. McCoy has served as Independent Lead Director since May 2024. Our Corporate Governance Policies outline the significant role and responsibilities of the Lead Director, which include:</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Chairing the Executive Committee of the Board</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Chairing executive sessions at which non-management directors meet outside management’s presence and providing feedback from such sessions to the CEO</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Coordinating the activities of the Independent Directors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Providing input on and approving the agendas and schedules for Board meetings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Leading (with the Chair of the Nominating and Corporate Governance Committee) the annual Board evaluation </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Leading (with the Chair of the Management Development and Compensation Committee) the Board’s review and discussion of the CEO’s performance</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Providing feedback to individual directors following their individual evaluations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Speaking on behalf of the Board and chairing Board meetings when the Chairman of the Board is unable to do so</w:t>
      </w:r>
    </w:p>
    <w:p>
      <w:pPr>
        <w:pStyle w:val="TextBody"/>
        <w:bidi w:val="0"/>
        <w:spacing w:lineRule="auto" w:line="312" w:before="80" w:after="120"/>
        <w:ind w:left="0" w:right="0" w:hanging="216"/>
        <w:jc w:val="left"/>
        <w:rPr/>
      </w:pPr>
      <w:r>
        <w:rPr>
          <w:color w:val="0046C8"/>
        </w:rPr>
        <w:t>•</w:t>
      </w:r>
      <w:r>
        <w:rPr>
          <w:rFonts w:ascii="Lato;sans-serif" w:hAnsi="Lato;sans-serif"/>
          <w:b w:val="false"/>
          <w:color w:val="000000"/>
          <w:sz w:val="19"/>
        </w:rPr>
        <w:t>Acting as a direct conduit to the Board for stockholders, employees, and others according to the Board’s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629920"/>
                <wp:effectExtent l="0" t="0" r="0" b="0"/>
                <wp:wrapNone/>
                <wp:docPr id="126" name="Frame1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11</w:t>
                            </w:r>
                          </w:p>
                        </w:tc>
                      </w:tr>
                    </w:tbl>
                    <w:p>
                      <w:pPr>
                        <w:pStyle w:val="TextBody"/>
                        <w:bidi w:val="0"/>
                        <w:spacing w:before="0" w:after="283"/>
                        <w:jc w:val="left"/>
                        <w:rPr/>
                      </w:pPr>
                      <w:r>
                        <w:rPr/>
                      </w:r>
                    </w:p>
                  </w:txbxContent>
                </v:textbox>
                <w10:wrap type="none"/>
              </v:rect>
            </w:pict>
          </mc:Fallback>
        </mc:AlternateContent>
      </w:r>
    </w:p>
    <w:tbl>
      <w:tblPr>
        <w:tblW w:w="2306" w:type="dxa"/>
        <w:jc w:val="left"/>
        <w:tblInd w:w="0" w:type="dxa"/>
        <w:tblLayout w:type="fixed"/>
        <w:tblCellMar>
          <w:top w:w="28" w:type="dxa"/>
          <w:left w:w="28" w:type="dxa"/>
          <w:bottom w:w="28" w:type="dxa"/>
          <w:right w:w="28" w:type="dxa"/>
        </w:tblCellMar>
      </w:tblPr>
      <w:tblGrid>
        <w:gridCol w:w="635"/>
        <w:gridCol w:w="559"/>
        <w:gridCol w:w="561"/>
        <w:gridCol w:w="161"/>
        <w:gridCol w:w="161"/>
        <w:gridCol w:w="229"/>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Corporate governance</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12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0" descr=""/>
                          <pic:cNvPicPr>
                            <a:picLocks noChangeAspect="1" noChangeArrowheads="1"/>
                          </pic:cNvPicPr>
                        </pic:nvPicPr>
                        <pic:blipFill>
                          <a:blip r:embed="rId111"/>
                          <a:stretch>
                            <a:fillRect/>
                          </a:stretch>
                        </pic:blipFill>
                        <pic:spPr bwMode="auto">
                          <a:xfrm>
                            <a:off x="0" y="0"/>
                            <a:ext cx="228600" cy="180975"/>
                          </a:xfrm>
                          <a:prstGeom prst="rect">
                            <a:avLst/>
                          </a:prstGeom>
                        </pic:spPr>
                      </pic:pic>
                    </a:graphicData>
                  </a:graphic>
                </wp:inline>
              </w:drawing>
            </w:r>
            <w:r>
              <w:rPr>
                <w:color w:val="000000"/>
              </w:rPr>
              <w:t> </w:t>
            </w:r>
          </w:p>
        </w:tc>
      </w:tr>
      <w:tr>
        <w:trPr/>
        <w:tc>
          <w:tcPr>
            <w:tcW w:w="175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Director Independence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By-Laws provide that a majority of our directors must be independent (“Independent Directors”). We believe our independent board helps ensure good corporate governance and strong internal controls.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Corporate Governance Policies, as adopted by the Board, provide independence standards consistent with the rules and regulations of the Securities and Exchange Commission (“SEC”) and the listing standards of the New York Stock Exchange (“NYSE”). Our independence standards can be found in Section 7 of our Corporate Governance Policies.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Board has determined that all directors and nominees, except for Michael D. Hsu, are Independent Directors and meet the independence standards in our Corporate Governance Policies. In addition, the Board previously reviewed the independence of former director Michael D. White, who did not stand for re-election at our 2024 Annual Meeting, and found that Mr. White was also independent.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NYSE listing standards and our own Corporate Governance Policies establish certain levels at which transactions are considered to have the potential to affect a director’s independence. Under our Corporate Governance Policies, certain relationships were considered immaterial and therefore were not considered by the Board in determining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Board Meetings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Board of Directors met seven times in 2024 and acted one time by unanimous written consent. All of the directors attended in excess of 75 percent of the total number of meetings of the Board and the committees on which they served.</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All of our directors are encouraged to attend our annual meeting of stockholders. All of our directors attended the 2024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Board Committees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standing committees of the Board include the Audit Committee, Management Development and Compensation Committee, Nominating and Corporate Governance Committee, and Executive Committee. The Nominating and Corporate Governance Committee maintains a standing Sustainability Subcommittee.</w:t>
      </w:r>
    </w:p>
    <w:p>
      <w:pPr>
        <w:pStyle w:val="TextBody"/>
        <w:bidi w:val="0"/>
        <w:spacing w:lineRule="auto" w:line="312" w:before="120" w:after="120"/>
        <w:jc w:val="left"/>
        <w:rPr/>
      </w:pPr>
      <w:r>
        <w:rPr>
          <w:rFonts w:ascii="Lato;sans-serif" w:hAnsi="Lato;sans-serif"/>
          <w:b w:val="false"/>
          <w:color w:val="000000"/>
          <w:sz w:val="19"/>
        </w:rPr>
        <w:t xml:space="preserve">In compliance with applicable NYSE corporate governance listing standards, the Board has adopted charters for the Audit, Management Development and Compensation, and Nominating and Corporate Governance Committees. These charters are available in the Investors section of our website at </w:t>
      </w:r>
      <w:r>
        <w:rPr>
          <w:rFonts w:ascii="Lato;sans-serif" w:hAnsi="Lato;sans-serif"/>
          <w:b/>
          <w:color w:val="000000"/>
          <w:sz w:val="19"/>
        </w:rPr>
        <w:t>www.kimberly-clark.com</w:t>
      </w:r>
      <w:r>
        <w:rPr>
          <w:rFonts w:ascii="Lato;sans-serif" w:hAnsi="Lato;sans-serif"/>
          <w:b w:val="false"/>
          <w:color w:val="000000"/>
          <w:sz w:val="19"/>
        </w:rPr>
        <w: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As set forth in our Corporate Governance Policies, the Audit, Management Development and Compensation, and Nominating and Corporate Governance Committees all have the authority to retain independent advisors and consultants, with all costs paid by Kimberly-Clark.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629920"/>
                <wp:effectExtent l="0" t="0" r="0" b="0"/>
                <wp:wrapNone/>
                <wp:docPr id="128" name="Frame1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12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12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305" w:type="dxa"/>
        <w:jc w:val="left"/>
        <w:tblInd w:w="0" w:type="dxa"/>
        <w:tblLayout w:type="fixed"/>
        <w:tblCellMar>
          <w:top w:w="28" w:type="dxa"/>
          <w:left w:w="28" w:type="dxa"/>
          <w:bottom w:w="28" w:type="dxa"/>
          <w:right w:w="28" w:type="dxa"/>
        </w:tblCellMar>
      </w:tblPr>
      <w:tblGrid>
        <w:gridCol w:w="188"/>
        <w:gridCol w:w="166"/>
        <w:gridCol w:w="167"/>
        <w:gridCol w:w="521"/>
        <w:gridCol w:w="521"/>
        <w:gridCol w:w="742"/>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12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1" descr=""/>
                          <pic:cNvPicPr>
                            <a:picLocks noChangeAspect="1" noChangeArrowheads="1"/>
                          </pic:cNvPicPr>
                        </pic:nvPicPr>
                        <pic:blipFill>
                          <a:blip r:embed="rId112"/>
                          <a:stretch>
                            <a:fillRect/>
                          </a:stretch>
                        </pic:blipFill>
                        <pic:spPr bwMode="auto">
                          <a:xfrm>
                            <a:off x="0" y="0"/>
                            <a:ext cx="228600" cy="180975"/>
                          </a:xfrm>
                          <a:prstGeom prst="rect">
                            <a:avLst/>
                          </a:prstGeom>
                        </pic:spPr>
                      </pic:pic>
                    </a:graphicData>
                  </a:graphic>
                </wp:inline>
              </w:drawing>
            </w:r>
            <w:r>
              <w:rPr>
                <w:color w:val="000000"/>
              </w:rPr>
              <w:t> </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Corporate governance</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72"/>
        <w:gridCol w:w="1416"/>
        <w:gridCol w:w="1416"/>
        <w:gridCol w:w="2167"/>
        <w:gridCol w:w="1416"/>
        <w:gridCol w:w="2018"/>
      </w:tblGrid>
      <w:tr>
        <w:trPr/>
        <w:tc>
          <w:tcPr>
            <w:tcW w:w="177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120"/>
              <w:jc w:val="left"/>
              <w:rPr/>
            </w:pPr>
            <w:r>
              <w:rPr>
                <w:rFonts w:ascii="Gilroy Bold;sans-serif" w:hAnsi="Gilroy Bold;sans-serif"/>
                <w:b/>
                <w:color w:val="0046C8"/>
                <w:sz w:val="24"/>
              </w:rPr>
              <w:t>A</w:t>
            </w:r>
            <w:r>
              <w:rPr>
                <w:rFonts w:ascii="Lato Bold;sans-serif" w:hAnsi="Lato Bold;sans-serif"/>
                <w:b/>
                <w:color w:val="0046C8"/>
                <w:sz w:val="24"/>
              </w:rPr>
              <w:t>udit Committee</w:t>
            </w:r>
          </w:p>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Board has determined that each of Mmes. Burwell, Mahlan, and Shive and Messrs. Ramirez and Romanelli is an “audit committee financial expert” under SEC rules and regulations. For Mr. Romanelli, the Board considered his significant experience, expertise and background with regard to accounting matters, including his past experience as Vice President, Investor Relations, for Merck &amp; Co., Inc., as discussed below under “The Nominees.” In addition, all Audit Committee members satisfy the NYSE’s financial literacy requirements and qualify as Independent Directors under the rules of the SEC and the NYSE, as well as under our Corporate Governance Policies. See “Corporate Governance - Director Independence” for additional information on Independent Directors.</w:t>
            </w:r>
          </w:p>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No member of the Audit Committee serves on the audit committees of more than three public companies and under our Audit Committee Charter, no Committee member is permitted to do so.</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top w:val="single" w:sz="4" w:space="0" w:color="B3B3B3"/>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6"/>
              </w:rPr>
            </w:pPr>
            <w:r>
              <w:rPr>
                <w:rFonts w:ascii="Lato Bold;sans-serif" w:hAnsi="Lato Bold;sans-serif"/>
                <w:b/>
                <w:color w:val="000000"/>
                <w:sz w:val="16"/>
              </w:rPr>
              <w:t>Chair</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Dunia A. Shive</w:t>
            </w:r>
          </w:p>
          <w:p>
            <w:pPr>
              <w:pStyle w:val="TableContents"/>
              <w:bidi w:val="0"/>
              <w:spacing w:lineRule="auto" w:line="312" w:before="160" w:after="283"/>
              <w:jc w:val="left"/>
              <w:rPr>
                <w:rFonts w:ascii="Lato Bold;sans-serif" w:hAnsi="Lato Bold;sans-serif"/>
                <w:b/>
                <w:color w:val="000000"/>
                <w:sz w:val="16"/>
              </w:rPr>
            </w:pPr>
            <w:r>
              <w:rPr>
                <w:rFonts w:ascii="Lato Bold;sans-serif" w:hAnsi="Lato Bold;sans-serif"/>
                <w:b/>
                <w:color w:val="000000"/>
                <w:sz w:val="16"/>
              </w:rPr>
              <w:t>Other Members</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Sylvia M. Burwell</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Deeptha Khanna</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Deirdre A. Mahlan</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Jaime A. Ramirez</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Joseph Romanelli</w:t>
            </w:r>
          </w:p>
          <w:p>
            <w:pPr>
              <w:pStyle w:val="TableContents"/>
              <w:bidi w:val="0"/>
              <w:spacing w:lineRule="auto" w:line="312" w:before="160" w:after="283"/>
              <w:jc w:val="left"/>
              <w:rPr/>
            </w:pPr>
            <w:r>
              <w:rPr>
                <w:rFonts w:ascii="Lato Bold;sans-serif" w:hAnsi="Lato Bold;sans-serif"/>
                <w:b/>
                <w:color w:val="000000"/>
                <w:sz w:val="16"/>
              </w:rPr>
              <w:t>Meetings in 2024:</w:t>
            </w:r>
            <w:r>
              <w:rPr>
                <w:color w:val="000000"/>
              </w:rPr>
              <w:t xml:space="preserve"> </w:t>
            </w:r>
            <w:r>
              <w:rPr>
                <w:rFonts w:ascii="Lato;sans-serif" w:hAnsi="Lato;sans-serif"/>
                <w:b w:val="false"/>
                <w:color w:val="000000"/>
                <w:sz w:val="16"/>
              </w:rPr>
              <w:t>8</w:t>
            </w:r>
          </w:p>
        </w:tc>
        <w:tc>
          <w:tcPr>
            <w:tcW w:w="5601" w:type="dxa"/>
            <w:gridSpan w:val="3"/>
            <w:tcBorders>
              <w:left w:val="single" w:sz="4" w:space="0" w:color="B3B3B3"/>
            </w:tcBorders>
            <w:tcMar>
              <w:top w:w="0" w:type="dxa"/>
              <w:bottom w:w="0" w:type="dxa"/>
              <w:right w:w="0" w:type="dxa"/>
            </w:tcMar>
            <w:vAlign w:val="center"/>
          </w:tcPr>
          <w:p>
            <w:pPr>
              <w:pStyle w:val="TableContents"/>
              <w:bidi w:val="0"/>
              <w:spacing w:lineRule="auto" w:line="288" w:before="0" w:after="120"/>
              <w:jc w:val="left"/>
              <w:rPr/>
            </w:pPr>
            <w:r>
              <w:rPr>
                <w:rFonts w:ascii="Lato Bold;sans-serif" w:hAnsi="Lato Bold;sans-serif"/>
                <w:b w:val="false"/>
                <w:color w:val="0046C8"/>
                <w:sz w:val="19"/>
              </w:rPr>
              <w:t xml:space="preserve">The </w:t>
            </w:r>
            <w:r>
              <w:rPr>
                <w:rFonts w:ascii="Lato Bold;sans-serif" w:hAnsi="Lato Bold;sans-serif"/>
                <w:b/>
                <w:color w:val="0046C8"/>
                <w:sz w:val="19"/>
              </w:rPr>
              <w:t>Committee’s principal functions, as specified in its charter, include:</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Overseeing:</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the quality and integrity of our financial statements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our compliance programs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the independence, qualification, and performance of our independent auditor</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the performance of our internal auditor</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Selecting and engaging our independent auditor, subject to stockholder ratification</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Pre-approving all audit and non-audit services that our independent auditor provides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Reviewing the scope of audits and audit findings, including any comments or recommendations of our independent auditor</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Establishing policies for our internal audit programs</w:t>
            </w:r>
          </w:p>
          <w:p>
            <w:pPr>
              <w:pStyle w:val="TableContents"/>
              <w:bidi w:val="0"/>
              <w:spacing w:lineRule="auto" w:line="312" w:before="80" w:after="283"/>
              <w:ind w:left="0" w:right="0" w:hanging="216"/>
              <w:jc w:val="left"/>
              <w:rPr/>
            </w:pPr>
            <w:r>
              <w:rPr>
                <w:color w:val="0046C8"/>
              </w:rPr>
              <w:t>•</w:t>
            </w:r>
            <w:r>
              <w:rPr>
                <w:rFonts w:ascii="Lato;sans-serif" w:hAnsi="Lato;sans-serif"/>
                <w:b w:val="false"/>
                <w:color w:val="000000"/>
                <w:sz w:val="19"/>
              </w:rPr>
              <w:t>Overseeing the company’s risk management program (including risks related to data privacy, cybersecurity, business continuity, IT operational resilience, and regulatory matters) and receiving periodic reports from management on risk assessments, the risk management process, and issues related to the risks of managing our business</w:t>
            </w:r>
          </w:p>
        </w:tc>
      </w:tr>
      <w:tr>
        <w:trPr/>
        <w:tc>
          <w:tcPr>
            <w:tcW w:w="4604"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3"/>
            <w:tcBorders>
              <w:left w:val="single" w:sz="4" w:space="0" w:color="B3B3B3"/>
              <w:bottom w:val="single" w:sz="16" w:space="0" w:color="0046C8"/>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20"/>
        <w:jc w:val="left"/>
        <w:rPr>
          <w:rFonts w:ascii="Lato;sans-serif" w:hAnsi="Lato;sans-serif"/>
          <w:b w:val="false"/>
          <w:color w:val="000000"/>
          <w:sz w:val="30"/>
        </w:rPr>
      </w:pPr>
      <w:r>
        <w:rPr>
          <w:rFonts w:ascii="Lato;sans-serif" w:hAnsi="Lato;sans-serif"/>
          <w:b w:val="false"/>
          <w:color w:val="000000"/>
          <w:sz w:val="30"/>
        </w:rPr>
        <w:t>Committee Report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For additional information about the Audit Committee’s oversight activities in 2024, see “Proposal 2. Ratification of Auditor - Audit Committee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629920"/>
                <wp:effectExtent l="0" t="0" r="0" b="0"/>
                <wp:wrapNone/>
                <wp:docPr id="130" name="Frame1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13</w:t>
                            </w:r>
                          </w:p>
                        </w:tc>
                      </w:tr>
                    </w:tbl>
                    <w:p>
                      <w:pPr>
                        <w:pStyle w:val="TextBody"/>
                        <w:bidi w:val="0"/>
                        <w:spacing w:before="0" w:after="283"/>
                        <w:jc w:val="left"/>
                        <w:rPr/>
                      </w:pPr>
                      <w:r>
                        <w:rPr/>
                      </w:r>
                    </w:p>
                  </w:txbxContent>
                </v:textbox>
                <w10:wrap type="none"/>
              </v:rect>
            </w:pict>
          </mc:Fallback>
        </mc:AlternateContent>
      </w:r>
    </w:p>
    <w:tbl>
      <w:tblPr>
        <w:tblW w:w="2306" w:type="dxa"/>
        <w:jc w:val="left"/>
        <w:tblInd w:w="0" w:type="dxa"/>
        <w:tblLayout w:type="fixed"/>
        <w:tblCellMar>
          <w:top w:w="28" w:type="dxa"/>
          <w:left w:w="28" w:type="dxa"/>
          <w:bottom w:w="28" w:type="dxa"/>
          <w:right w:w="28" w:type="dxa"/>
        </w:tblCellMar>
      </w:tblPr>
      <w:tblGrid>
        <w:gridCol w:w="635"/>
        <w:gridCol w:w="559"/>
        <w:gridCol w:w="561"/>
        <w:gridCol w:w="161"/>
        <w:gridCol w:w="161"/>
        <w:gridCol w:w="229"/>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Corporate governance</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13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2" descr=""/>
                          <pic:cNvPicPr>
                            <a:picLocks noChangeAspect="1" noChangeArrowheads="1"/>
                          </pic:cNvPicPr>
                        </pic:nvPicPr>
                        <pic:blipFill>
                          <a:blip r:embed="rId113"/>
                          <a:stretch>
                            <a:fillRect/>
                          </a:stretch>
                        </pic:blipFill>
                        <pic:spPr bwMode="auto">
                          <a:xfrm>
                            <a:off x="0" y="0"/>
                            <a:ext cx="228600" cy="180975"/>
                          </a:xfrm>
                          <a:prstGeom prst="rect">
                            <a:avLst/>
                          </a:prstGeom>
                        </pic:spPr>
                      </pic:pic>
                    </a:graphicData>
                  </a:graphic>
                </wp:inline>
              </w:drawing>
            </w:r>
            <w:r>
              <w:rPr>
                <w:color w:val="000000"/>
              </w:rPr>
              <w:t> </w:t>
            </w:r>
          </w:p>
        </w:tc>
      </w:tr>
      <w:tr>
        <w:trPr/>
        <w:tc>
          <w:tcPr>
            <w:tcW w:w="175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19"/>
        <w:gridCol w:w="720"/>
        <w:gridCol w:w="720"/>
        <w:gridCol w:w="3034"/>
        <w:gridCol w:w="2022"/>
        <w:gridCol w:w="2890"/>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Lato Bold;sans-serif" w:hAnsi="Lato Bold;sans-serif"/>
                <w:b/>
                <w:color w:val="0046C8"/>
                <w:sz w:val="24"/>
              </w:rPr>
            </w:pPr>
            <w:r>
              <w:rPr>
                <w:rFonts w:ascii="Lato Bold;sans-serif" w:hAnsi="Lato Bold;sans-serif"/>
                <w:b/>
                <w:color w:val="0046C8"/>
                <w:sz w:val="24"/>
              </w:rPr>
              <w:t>Management Development and Compensation Committee</w:t>
            </w:r>
          </w:p>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Each member of this Committee is an Independent Director under the rules of the SEC and the NYSE, as well as under our Corporate Governance Policies.</w:t>
            </w:r>
          </w:p>
        </w:tc>
      </w:tr>
      <w:tr>
        <w:trPr/>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top w:val="single" w:sz="4" w:space="0" w:color="B3B3B3"/>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6"/>
              </w:rPr>
            </w:pPr>
            <w:r>
              <w:rPr>
                <w:rFonts w:ascii="Lato Bold;sans-serif" w:hAnsi="Lato Bold;sans-serif"/>
                <w:b/>
                <w:color w:val="000000"/>
                <w:sz w:val="16"/>
              </w:rPr>
              <w:t>Chair</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John W. Culver</w:t>
            </w:r>
          </w:p>
          <w:p>
            <w:pPr>
              <w:pStyle w:val="TableContents"/>
              <w:bidi w:val="0"/>
              <w:spacing w:lineRule="auto" w:line="312" w:before="160" w:after="283"/>
              <w:jc w:val="left"/>
              <w:rPr>
                <w:rFonts w:ascii="Lato Bold;sans-serif" w:hAnsi="Lato Bold;sans-serif"/>
                <w:b/>
                <w:color w:val="000000"/>
                <w:sz w:val="16"/>
              </w:rPr>
            </w:pPr>
            <w:r>
              <w:rPr>
                <w:rFonts w:ascii="Lato Bold;sans-serif" w:hAnsi="Lato Bold;sans-serif"/>
                <w:b/>
                <w:color w:val="000000"/>
                <w:sz w:val="16"/>
              </w:rPr>
              <w:t>Other Members</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Mae C. Jemison, M.D.</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S. Todd Maclin</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Christa S. Quarles</w:t>
            </w:r>
          </w:p>
          <w:p>
            <w:pPr>
              <w:pStyle w:val="TableContents"/>
              <w:bidi w:val="0"/>
              <w:spacing w:lineRule="auto" w:line="312" w:before="160" w:after="283"/>
              <w:jc w:val="left"/>
              <w:rPr/>
            </w:pPr>
            <w:r>
              <w:rPr>
                <w:rFonts w:ascii="Lato Bold;sans-serif" w:hAnsi="Lato Bold;sans-serif"/>
                <w:b/>
                <w:color w:val="000000"/>
                <w:sz w:val="16"/>
              </w:rPr>
              <w:t>Meetings in 2024:</w:t>
            </w:r>
            <w:r>
              <w:rPr>
                <w:color w:val="000000"/>
              </w:rPr>
              <w:t xml:space="preserve"> </w:t>
            </w:r>
            <w:r>
              <w:rPr>
                <w:rFonts w:ascii="Lato;sans-serif" w:hAnsi="Lato;sans-serif"/>
                <w:b w:val="false"/>
                <w:color w:val="000000"/>
                <w:sz w:val="16"/>
              </w:rPr>
              <w:t>4</w:t>
            </w:r>
          </w:p>
        </w:tc>
        <w:tc>
          <w:tcPr>
            <w:tcW w:w="7946" w:type="dxa"/>
            <w:gridSpan w:val="3"/>
            <w:tcBorders>
              <w:left w:val="single" w:sz="4" w:space="0" w:color="B3B3B3"/>
            </w:tcBorders>
            <w:tcMar>
              <w:top w:w="0" w:type="dxa"/>
              <w:bottom w:w="0" w:type="dxa"/>
              <w:right w:w="0" w:type="dxa"/>
            </w:tcMar>
            <w:vAlign w:val="center"/>
          </w:tcPr>
          <w:p>
            <w:pPr>
              <w:pStyle w:val="TableContents"/>
              <w:bidi w:val="0"/>
              <w:spacing w:lineRule="auto" w:line="288" w:before="0" w:after="120"/>
              <w:jc w:val="left"/>
              <w:rPr>
                <w:rFonts w:ascii="Lato Bold;sans-serif" w:hAnsi="Lato Bold;sans-serif"/>
                <w:b/>
                <w:color w:val="0046C8"/>
                <w:sz w:val="19"/>
              </w:rPr>
            </w:pPr>
            <w:r>
              <w:rPr>
                <w:rFonts w:ascii="Lato Bold;sans-serif" w:hAnsi="Lato Bold;sans-serif"/>
                <w:b/>
                <w:color w:val="0046C8"/>
                <w:sz w:val="19"/>
              </w:rPr>
              <w:t>The Committee’s principal functions, as specified in its charter, include:</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Establishing and administering the policies governing annual compensation and long-term compensation, including stock option awards, restricted stock awards, and restricted share unit awards, such that the policies are designed to align compensation with our overall business strategy and performance</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Setting, after an evaluation of his overall performance, the compensation level of the CEO</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Approving, in consultation with the CEO, compensation levels and performance targets for the senior executive team</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Overseeing:</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leadership development for senior management and future senior management candidates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a periodic review of our long-term and emergency succession planning for the CEO and other key officer positions, in conjunction with our Board</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key organizational effectiveness and engagement policies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Reviewing our inclusion, equity, and diversity programs</w:t>
            </w:r>
          </w:p>
          <w:p>
            <w:pPr>
              <w:pStyle w:val="TableContents"/>
              <w:bidi w:val="0"/>
              <w:spacing w:lineRule="auto" w:line="312" w:before="80" w:after="283"/>
              <w:ind w:left="0" w:right="0" w:hanging="216"/>
              <w:jc w:val="left"/>
              <w:rPr/>
            </w:pPr>
            <w:r>
              <w:rPr>
                <w:color w:val="0046C8"/>
              </w:rPr>
              <w:t>•</w:t>
            </w:r>
            <w:r>
              <w:rPr>
                <w:rFonts w:ascii="Lato;sans-serif" w:hAnsi="Lato;sans-serif"/>
                <w:b w:val="false"/>
                <w:color w:val="000000"/>
                <w:sz w:val="19"/>
              </w:rPr>
              <w:t>Annually reviewing our compensation policies and practices for the purpose of mitigating risks arising from these policies and practices that could reasonably have a material adverse effect</w:t>
            </w:r>
          </w:p>
        </w:tc>
      </w:tr>
      <w:tr>
        <w:trPr/>
        <w:tc>
          <w:tcPr>
            <w:tcW w:w="2259"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
            <w:tcBorders>
              <w:left w:val="single" w:sz="4" w:space="0" w:color="BCBEC0"/>
              <w:bottom w:val="single" w:sz="16" w:space="0" w:color="0046C8"/>
            </w:tcBorders>
            <w:tcMar>
              <w:top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20"/>
        <w:jc w:val="left"/>
        <w:rPr>
          <w:rFonts w:ascii="Lato;sans-serif" w:hAnsi="Lato;sans-serif"/>
          <w:b w:val="false"/>
          <w:color w:val="000000"/>
          <w:sz w:val="30"/>
        </w:rPr>
      </w:pPr>
      <w:r>
        <w:rPr>
          <w:rFonts w:ascii="Lato;sans-serif" w:hAnsi="Lato;sans-serif"/>
          <w:b w:val="false"/>
          <w:color w:val="000000"/>
          <w:sz w:val="30"/>
        </w:rPr>
        <w:t>Roles of the Committee and the CEO in Compensation Decisions</w:t>
      </w:r>
    </w:p>
    <w:p>
      <w:pPr>
        <w:pStyle w:val="TextBody"/>
        <w:bidi w:val="0"/>
        <w:spacing w:lineRule="auto" w:line="288" w:before="120" w:after="120"/>
        <w:jc w:val="left"/>
        <w:rPr>
          <w:rFonts w:ascii="Lato;sans-serif" w:hAnsi="Lato;sans-serif"/>
          <w:b w:val="false"/>
          <w:color w:val="000000"/>
          <w:sz w:val="19"/>
        </w:rPr>
      </w:pPr>
      <w:r>
        <w:rPr>
          <w:rFonts w:ascii="Lato;sans-serif" w:hAnsi="Lato;sans-serif"/>
          <w:b w:val="false"/>
          <w:color w:val="000000"/>
          <w:sz w:val="19"/>
        </w:rPr>
        <w:t>Each year, the Committee reviews and sets the compensation of the officers that are elected by the Board (our “elected officers”), including our CEO and our other executive officers. The Committee’s charter does not permit the Committee to delegate to anyone the authority to establish any compensation policies or programs for elected officers, including our executive officers. With respect to officers that have been appointed to their position (our “non-elected officers”), our CEO has the authority to establish compensation programs and to approve equity grants. However, only the Committee may make grants to elected officers, including our executive officers.</w:t>
      </w:r>
    </w:p>
    <w:p>
      <w:pPr>
        <w:pStyle w:val="TextBody"/>
        <w:bidi w:val="0"/>
        <w:spacing w:lineRule="auto" w:line="288" w:before="120" w:after="120"/>
        <w:jc w:val="left"/>
        <w:rPr>
          <w:rFonts w:ascii="Lato;sans-serif" w:hAnsi="Lato;sans-serif"/>
          <w:b w:val="false"/>
          <w:color w:val="000000"/>
          <w:sz w:val="19"/>
        </w:rPr>
      </w:pPr>
      <w:r>
        <w:rPr>
          <w:rFonts w:ascii="Lato;sans-serif" w:hAnsi="Lato;sans-serif"/>
          <w:b w:val="false"/>
          <w:color w:val="000000"/>
          <w:sz w:val="19"/>
        </w:rPr>
        <w:t>Our CEO makes a recommendation to the Committee each year on the appropriate target annual compensation for each of the other executive officers. The Committee makes the final determination of the target annual compensation for each executive officer, including our CEO. While our CEO and Senior Vice President and Chief People Officer typically attend Committee meetings, none of the other executive officers is present during the portion of the Committee’s meetings when compensation for executive officers is set. In addition, our CEO is not present during the portion of the Committee’s meetings when his compensation is set.</w:t>
      </w:r>
    </w:p>
    <w:p>
      <w:pPr>
        <w:pStyle w:val="TextBody"/>
        <w:bidi w:val="0"/>
        <w:spacing w:lineRule="auto" w:line="288" w:before="120" w:after="120"/>
        <w:jc w:val="left"/>
        <w:rPr>
          <w:rFonts w:ascii="Lato;sans-serif" w:hAnsi="Lato;sans-serif"/>
          <w:b w:val="false"/>
          <w:color w:val="000000"/>
          <w:sz w:val="19"/>
        </w:rPr>
      </w:pPr>
      <w:r>
        <w:rPr>
          <w:rFonts w:ascii="Lato;sans-serif" w:hAnsi="Lato;sans-serif"/>
          <w:b w:val="false"/>
          <w:color w:val="000000"/>
          <w:sz w:val="19"/>
        </w:rPr>
        <w:t>For additional information on the Committee’s processes and procedures for determining executive compensation, and for a detailed discussion of our compensation policies, see “Compensation Discussion and Analysis.”</w:t>
      </w:r>
    </w:p>
    <w:p>
      <w:pPr>
        <w:pStyle w:val="TextBody"/>
        <w:bidi w:val="0"/>
        <w:spacing w:lineRule="auto" w:line="288" w:before="300" w:after="120"/>
        <w:jc w:val="left"/>
        <w:rPr>
          <w:rFonts w:ascii="Lato;sans-serif" w:hAnsi="Lato;sans-serif"/>
          <w:b w:val="false"/>
          <w:color w:val="000000"/>
          <w:sz w:val="30"/>
        </w:rPr>
      </w:pPr>
      <w:r>
        <w:rPr>
          <w:rFonts w:ascii="Lato;sans-serif" w:hAnsi="Lato;sans-serif"/>
          <w:b w:val="false"/>
          <w:color w:val="000000"/>
          <w:sz w:val="30"/>
        </w:rPr>
        <w:t>Use of Compensation Consultants</w:t>
      </w:r>
    </w:p>
    <w:p>
      <w:pPr>
        <w:pStyle w:val="TextBody"/>
        <w:bidi w:val="0"/>
        <w:spacing w:lineRule="auto" w:line="288" w:before="120" w:after="120"/>
        <w:jc w:val="left"/>
        <w:rPr>
          <w:rFonts w:ascii="Lato;sans-serif" w:hAnsi="Lato;sans-serif"/>
          <w:b w:val="false"/>
          <w:color w:val="000000"/>
          <w:sz w:val="19"/>
        </w:rPr>
      </w:pPr>
      <w:r>
        <w:rPr>
          <w:rFonts w:ascii="Lato;sans-serif" w:hAnsi="Lato;sans-serif"/>
          <w:b w:val="false"/>
          <w:color w:val="000000"/>
          <w:sz w:val="19"/>
        </w:rPr>
        <w:t>The Committee’s charter authorizes it to retain advisors, including compensation consultants, to assist it in its work. The Committee believes that compensation consultants can provide important market information and perspectives that can help it determine compensation programs that best meet the objectives of our compensation policies. In selecting a consultant, the Committee evaluates the independence of the firm as a whole and of the individual advisors who will be working with the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629920"/>
                <wp:effectExtent l="0" t="0" r="0" b="0"/>
                <wp:wrapNone/>
                <wp:docPr id="132" name="Frame2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14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14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305" w:type="dxa"/>
        <w:jc w:val="left"/>
        <w:tblInd w:w="0" w:type="dxa"/>
        <w:tblLayout w:type="fixed"/>
        <w:tblCellMar>
          <w:top w:w="28" w:type="dxa"/>
          <w:left w:w="28" w:type="dxa"/>
          <w:bottom w:w="28" w:type="dxa"/>
          <w:right w:w="28" w:type="dxa"/>
        </w:tblCellMar>
      </w:tblPr>
      <w:tblGrid>
        <w:gridCol w:w="188"/>
        <w:gridCol w:w="166"/>
        <w:gridCol w:w="167"/>
        <w:gridCol w:w="521"/>
        <w:gridCol w:w="521"/>
        <w:gridCol w:w="742"/>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13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3" descr=""/>
                          <pic:cNvPicPr>
                            <a:picLocks noChangeAspect="1" noChangeArrowheads="1"/>
                          </pic:cNvPicPr>
                        </pic:nvPicPr>
                        <pic:blipFill>
                          <a:blip r:embed="rId114"/>
                          <a:stretch>
                            <a:fillRect/>
                          </a:stretch>
                        </pic:blipFill>
                        <pic:spPr bwMode="auto">
                          <a:xfrm>
                            <a:off x="0" y="0"/>
                            <a:ext cx="228600" cy="180975"/>
                          </a:xfrm>
                          <a:prstGeom prst="rect">
                            <a:avLst/>
                          </a:prstGeom>
                        </pic:spPr>
                      </pic:pic>
                    </a:graphicData>
                  </a:graphic>
                </wp:inline>
              </w:drawing>
            </w:r>
            <w:r>
              <w:rPr>
                <w:color w:val="000000"/>
              </w:rPr>
              <w:t> </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Corporate governance</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Lato;sans-serif" w:hAnsi="Lato;sans-serif"/>
          <w:b w:val="false"/>
          <w:i/>
          <w:color w:val="000000"/>
          <w:sz w:val="19"/>
        </w:rPr>
        <w:t>Independent Committee Consultant.</w:t>
      </w:r>
      <w:r>
        <w:rPr>
          <w:color w:val="000000"/>
        </w:rPr>
        <w:t xml:space="preserve"> </w:t>
      </w:r>
      <w:r>
        <w:rPr>
          <w:rFonts w:ascii="Lato;sans-serif" w:hAnsi="Lato;sans-serif"/>
          <w:b w:val="false"/>
          <w:color w:val="000000"/>
          <w:sz w:val="19"/>
        </w:rPr>
        <w:t>In 2024, the Committee retained Semler Brossy Consulting Group as its independent executive compensation consultant. According to the Committee’s written policy, the independent Committee consultant provides services solely to the Committee and not to Kimberly-Clark. Semler Brossy has no other business relationship with Kimberly-Clark and receives no payments from us other than fees for services to the Committee. Semler Brossy reports directly to the Committee and the Committee may replace it or hire additional consultants at any time. A representative of Semler Brossy attends Committee meetings and communicates with the Chair of the Committee between meetings from time to time.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scope of Semler Brossy’s engagement in 2024 included:</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Conducting a review of the competitive market data (including base salary, annual incentive targets, and long-term incentive targets) for our executive officers, including our CEO</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Reviewing and commenting, as requested by the Committee, on recommendations by management and Mercer Human Resource Consulting (“Mercer”) concerning executive compensation programs, including program changes and redesign, special awards, change-of-control provisions, our executive compensation peer group, any executive contract provisions, promotions, retirement, and related items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Reviewing and commenting on the Committee’s report for the proxy statement</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Attending Committee meetings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Periodically consulting with the Chair of the Committee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During 2024, at the request of the Committee, a representative of Semler Brossy attended four Committee meetings.</w:t>
      </w:r>
    </w:p>
    <w:p>
      <w:pPr>
        <w:pStyle w:val="TextBody"/>
        <w:bidi w:val="0"/>
        <w:spacing w:lineRule="auto" w:line="312" w:before="120" w:after="120"/>
        <w:jc w:val="left"/>
        <w:rPr/>
      </w:pPr>
      <w:r>
        <w:rPr>
          <w:rFonts w:ascii="Lato;sans-serif" w:hAnsi="Lato;sans-serif"/>
          <w:b w:val="false"/>
          <w:i/>
          <w:color w:val="000000"/>
          <w:sz w:val="19"/>
        </w:rPr>
        <w:t xml:space="preserve">Kimberly-Clark Consultant. </w:t>
      </w:r>
      <w:r>
        <w:rPr>
          <w:rFonts w:ascii="Lato;sans-serif" w:hAnsi="Lato;sans-serif"/>
          <w:b w:val="false"/>
          <w:color w:val="000000"/>
          <w:sz w:val="19"/>
        </w:rPr>
        <w:t>To assist management and the Committee in assessing our compensation programs and determining appropriate, competitive compensation for our executive officers, Kimberly-Clark annually engages an outside compensation consultant. In 2024, it retained Mercer for this purpose. Mercer has provided consulting services to Kimberly-Clark on a wide variety of human resources and compensation matters, both at the officer and non-officer levels. During 2024, Mercer provided advice and counsel on various matters relating to executive and director remuneration, including the following services: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Assessing our executive compensation peer group and recommending changes as necessary</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Assessing compensation levels within our peer group for executive officer positions and other selected positions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Reviewing historic and projected performance for peer group companies under the metrics we use in our annual and long-term incentive plans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Assisting in incentive plan design and modifications, as requested</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Providing market research on various issues as requested by management</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Preparing for and participating in Committee meetings, as requested</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Reviewing the Compensation Discussion and Analysis section of the proxy statement and other disclosures, as requested</w:t>
      </w:r>
    </w:p>
    <w:p>
      <w:pPr>
        <w:pStyle w:val="TextBody"/>
        <w:bidi w:val="0"/>
        <w:spacing w:lineRule="auto" w:line="312" w:before="80" w:after="120"/>
        <w:ind w:left="0" w:right="0" w:hanging="216"/>
        <w:jc w:val="left"/>
        <w:rPr/>
      </w:pPr>
      <w:r>
        <w:rPr>
          <w:color w:val="0046C8"/>
        </w:rPr>
        <w:t>•</w:t>
      </w:r>
      <w:r>
        <w:rPr>
          <w:rFonts w:ascii="Lato;sans-serif" w:hAnsi="Lato;sans-serif"/>
          <w:b w:val="false"/>
          <w:color w:val="000000"/>
          <w:sz w:val="19"/>
        </w:rPr>
        <w:t>Consulting with management on compensation matters</w:t>
      </w:r>
    </w:p>
    <w:p>
      <w:pPr>
        <w:pStyle w:val="TextBody"/>
        <w:bidi w:val="0"/>
        <w:spacing w:lineRule="auto" w:line="312" w:before="120" w:after="120"/>
        <w:jc w:val="left"/>
        <w:rPr/>
      </w:pPr>
      <w:r>
        <w:rPr>
          <w:rFonts w:ascii="Lato;sans-serif" w:hAnsi="Lato;sans-serif"/>
          <w:b w:val="false"/>
          <w:i/>
          <w:color w:val="000000"/>
          <w:sz w:val="19"/>
        </w:rPr>
        <w:t>Committee Assessment of Consultant Conflicts of Interest.</w:t>
      </w:r>
      <w:r>
        <w:rPr>
          <w:color w:val="000000"/>
        </w:rPr>
        <w:t xml:space="preserve"> </w:t>
      </w:r>
      <w:r>
        <w:rPr>
          <w:rFonts w:ascii="Lato;sans-serif" w:hAnsi="Lato;sans-serif"/>
          <w:b w:val="false"/>
          <w:color w:val="000000"/>
          <w:sz w:val="19"/>
        </w:rPr>
        <w:t>The Committee has reviewed whether the work provided by Semler Brossy and Mercer represents any conflict of interest. Factors considered by the Committee include: (1) other services provided to Kimberly-Clark by the consultant; (2) what percentage of the consultant’s total revenue is made up of fees from Kimberly-Clark; (3) policies or procedures of the consultant that are designed to prevent a conflict of interest; (4) any business or personal relationships between individual consultants involved in the engagement and Committee members; (5) any shares of Kimberly-Clark stock owned by individual consultants involved in the engagement; and (6) any business or personal relationships between our executive officers and the consulting firm or the individual consultants involved in the engagement. Based on its review, the Committee does not believe that any of the compensation consultants that performed services in 2024 has a conflict of interest with respect to the work performed for Kimberly-Clark or the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629920"/>
                <wp:effectExtent l="0" t="0" r="0" b="0"/>
                <wp:wrapNone/>
                <wp:docPr id="134" name="Frame2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15</w:t>
                            </w:r>
                          </w:p>
                        </w:tc>
                      </w:tr>
                    </w:tbl>
                    <w:p>
                      <w:pPr>
                        <w:pStyle w:val="TextBody"/>
                        <w:bidi w:val="0"/>
                        <w:spacing w:before="0" w:after="283"/>
                        <w:jc w:val="left"/>
                        <w:rPr/>
                      </w:pPr>
                      <w:r>
                        <w:rPr/>
                      </w:r>
                    </w:p>
                  </w:txbxContent>
                </v:textbox>
                <w10:wrap type="none"/>
              </v:rect>
            </w:pict>
          </mc:Fallback>
        </mc:AlternateContent>
      </w:r>
    </w:p>
    <w:tbl>
      <w:tblPr>
        <w:tblW w:w="2306" w:type="dxa"/>
        <w:jc w:val="left"/>
        <w:tblInd w:w="0" w:type="dxa"/>
        <w:tblLayout w:type="fixed"/>
        <w:tblCellMar>
          <w:top w:w="28" w:type="dxa"/>
          <w:left w:w="28" w:type="dxa"/>
          <w:bottom w:w="28" w:type="dxa"/>
          <w:right w:w="28" w:type="dxa"/>
        </w:tblCellMar>
      </w:tblPr>
      <w:tblGrid>
        <w:gridCol w:w="635"/>
        <w:gridCol w:w="559"/>
        <w:gridCol w:w="561"/>
        <w:gridCol w:w="161"/>
        <w:gridCol w:w="161"/>
        <w:gridCol w:w="229"/>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Corporate governance</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13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4" descr=""/>
                          <pic:cNvPicPr>
                            <a:picLocks noChangeAspect="1" noChangeArrowheads="1"/>
                          </pic:cNvPicPr>
                        </pic:nvPicPr>
                        <pic:blipFill>
                          <a:blip r:embed="rId115"/>
                          <a:stretch>
                            <a:fillRect/>
                          </a:stretch>
                        </pic:blipFill>
                        <pic:spPr bwMode="auto">
                          <a:xfrm>
                            <a:off x="0" y="0"/>
                            <a:ext cx="228600" cy="180975"/>
                          </a:xfrm>
                          <a:prstGeom prst="rect">
                            <a:avLst/>
                          </a:prstGeom>
                        </pic:spPr>
                      </pic:pic>
                    </a:graphicData>
                  </a:graphic>
                </wp:inline>
              </w:drawing>
            </w:r>
            <w:r>
              <w:rPr>
                <w:color w:val="000000"/>
              </w:rPr>
              <w:t> </w:t>
            </w:r>
          </w:p>
        </w:tc>
      </w:tr>
      <w:tr>
        <w:trPr/>
        <w:tc>
          <w:tcPr>
            <w:tcW w:w="175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20"/>
        <w:jc w:val="left"/>
        <w:rPr>
          <w:rFonts w:ascii="Lato;sans-serif" w:hAnsi="Lato;sans-serif"/>
          <w:b w:val="false"/>
          <w:color w:val="000000"/>
          <w:sz w:val="30"/>
        </w:rPr>
      </w:pPr>
      <w:r>
        <w:rPr>
          <w:rFonts w:ascii="Lato;sans-serif" w:hAnsi="Lato;sans-serif"/>
          <w:b w:val="false"/>
          <w:color w:val="000000"/>
          <w:sz w:val="30"/>
        </w:rPr>
        <w:t>Committee Report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Committee has reviewed the “Compensation Discussion and Analysis” section of this proxy statement and has recommended that it be included in this proxy statement. The Committee’s report is located at “Compensation Discussion and Analysis — Management Development and Compensation Committee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732"/>
        <w:gridCol w:w="542"/>
        <w:gridCol w:w="542"/>
        <w:gridCol w:w="3015"/>
        <w:gridCol w:w="2222"/>
        <w:gridCol w:w="3152"/>
      </w:tblGrid>
      <w:tr>
        <w:trPr/>
        <w:tc>
          <w:tcPr>
            <w:tcW w:w="73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315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Lato Bold;sans-serif" w:hAnsi="Lato Bold;sans-serif"/>
                <w:b/>
                <w:color w:val="0046C8"/>
                <w:sz w:val="24"/>
              </w:rPr>
            </w:pPr>
            <w:r>
              <w:rPr>
                <w:rFonts w:ascii="Lato Bold;sans-serif" w:hAnsi="Lato Bold;sans-serif"/>
                <w:b/>
                <w:color w:val="0046C8"/>
                <w:sz w:val="24"/>
              </w:rPr>
              <w:t>Nominating and Corporate Governance Committee</w:t>
            </w:r>
          </w:p>
          <w:p>
            <w:pPr>
              <w:pStyle w:val="TableContents"/>
              <w:bidi w:val="0"/>
              <w:spacing w:lineRule="auto" w:line="312" w:before="120" w:after="283"/>
              <w:jc w:val="left"/>
              <w:rPr>
                <w:rFonts w:ascii="Lato;sans-serif" w:hAnsi="Lato;sans-serif"/>
                <w:b w:val="false"/>
                <w:color w:val="000000"/>
                <w:sz w:val="19"/>
              </w:rPr>
            </w:pPr>
            <w:r>
              <w:rPr>
                <w:rFonts w:ascii="Lato;sans-serif" w:hAnsi="Lato;sans-serif"/>
                <w:b w:val="false"/>
                <w:color w:val="000000"/>
                <w:sz w:val="19"/>
              </w:rPr>
              <w:t xml:space="preserve">Each member of this Committee is an Independent Director under the rules of the SEC and the NYSE, as well as under our Corporate Governance Policies. </w:t>
            </w:r>
          </w:p>
        </w:tc>
      </w:tr>
      <w:tr>
        <w:trPr/>
        <w:tc>
          <w:tcPr>
            <w:tcW w:w="1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9" w:type="dxa"/>
            <w:gridSpan w:val="3"/>
            <w:tcBorders>
              <w:top w:val="single" w:sz="4" w:space="0" w:color="B3B3B3"/>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6"/>
              </w:rPr>
            </w:pPr>
            <w:r>
              <w:rPr>
                <w:rFonts w:ascii="Lato Bold;sans-serif" w:hAnsi="Lato Bold;sans-serif"/>
                <w:b/>
                <w:color w:val="000000"/>
                <w:sz w:val="16"/>
              </w:rPr>
              <w:t>Chair</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Mark T. Smucker</w:t>
            </w:r>
          </w:p>
          <w:p>
            <w:pPr>
              <w:pStyle w:val="TableContents"/>
              <w:bidi w:val="0"/>
              <w:spacing w:lineRule="auto" w:line="312" w:before="160" w:after="283"/>
              <w:jc w:val="left"/>
              <w:rPr>
                <w:rFonts w:ascii="Lato Bold;sans-serif" w:hAnsi="Lato Bold;sans-serif"/>
                <w:b/>
                <w:color w:val="000000"/>
                <w:sz w:val="16"/>
              </w:rPr>
            </w:pPr>
            <w:r>
              <w:rPr>
                <w:rFonts w:ascii="Lato Bold;sans-serif" w:hAnsi="Lato Bold;sans-serif"/>
                <w:b/>
                <w:color w:val="000000"/>
                <w:sz w:val="16"/>
              </w:rPr>
              <w:t>Other Members</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Mae C. Jemison, M.D.</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S. Todd Maclin</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Christa S. Quarles</w:t>
            </w:r>
          </w:p>
          <w:p>
            <w:pPr>
              <w:pStyle w:val="TableContents"/>
              <w:bidi w:val="0"/>
              <w:spacing w:lineRule="auto" w:line="312" w:before="160" w:after="283"/>
              <w:jc w:val="left"/>
              <w:rPr/>
            </w:pPr>
            <w:r>
              <w:rPr>
                <w:rFonts w:ascii="Lato Bold;sans-serif" w:hAnsi="Lato Bold;sans-serif"/>
                <w:b/>
                <w:color w:val="000000"/>
                <w:sz w:val="16"/>
              </w:rPr>
              <w:t>Meetings in 2024:</w:t>
            </w:r>
            <w:r>
              <w:rPr>
                <w:color w:val="000000"/>
              </w:rPr>
              <w:t xml:space="preserve"> </w:t>
            </w:r>
            <w:r>
              <w:rPr>
                <w:rFonts w:ascii="Lato Bold;sans-serif" w:hAnsi="Lato Bold;sans-serif"/>
                <w:b w:val="false"/>
                <w:color w:val="000000"/>
                <w:sz w:val="16"/>
              </w:rPr>
              <w:t>4</w:t>
            </w:r>
          </w:p>
        </w:tc>
        <w:tc>
          <w:tcPr>
            <w:tcW w:w="8389" w:type="dxa"/>
            <w:gridSpan w:val="3"/>
            <w:tcBorders>
              <w:left w:val="single" w:sz="4" w:space="0" w:color="B3B3B3"/>
            </w:tcBorders>
            <w:tcMar>
              <w:top w:w="0" w:type="dxa"/>
              <w:bottom w:w="0" w:type="dxa"/>
              <w:right w:w="0" w:type="dxa"/>
            </w:tcMar>
            <w:vAlign w:val="center"/>
          </w:tcPr>
          <w:p>
            <w:pPr>
              <w:pStyle w:val="TableContents"/>
              <w:bidi w:val="0"/>
              <w:spacing w:lineRule="auto" w:line="288" w:before="0" w:after="120"/>
              <w:jc w:val="left"/>
              <w:rPr>
                <w:rFonts w:ascii="Lato Bold;sans-serif" w:hAnsi="Lato Bold;sans-serif"/>
                <w:b/>
                <w:color w:val="0046C8"/>
                <w:sz w:val="19"/>
              </w:rPr>
            </w:pPr>
            <w:r>
              <w:rPr>
                <w:rFonts w:ascii="Lato Bold;sans-serif" w:hAnsi="Lato Bold;sans-serif"/>
                <w:b/>
                <w:color w:val="0046C8"/>
                <w:sz w:val="19"/>
              </w:rPr>
              <w:t>The Committee’s principal functions, as specified in its charter, include the following:</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Maintaining and reviewing a Board succession plan</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Overseeing the process for Board nominations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Advising the Board on:</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Board organization, membership, function, performance, and compensation</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committee structure and membership</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policies and positions regarding significant stockholder relations issues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Overseeing corporate governance matters, including developing and recommending to the Board changes to our Corporate Governance Policies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Reviewing director independence standards and making recommendations to the Board with respect to the determination of director independence</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Monitoring and recommending improvements to the Board’s practices and procedures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Reviewing stockholder proposals and considering how to respond to them</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Overseeing matters relating to Kimberly-Clark’s corporate social responsibility and sustainability activities and providing input to management on these programs and their effectiveness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Overseeing the Corporation’s public policy activities, including political contributions and lobbying activities</w:t>
            </w:r>
          </w:p>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Committee, in accordance with its charter and our Certificate of Incorporation, has established criteria and processes for director nominations, including those proposed by stockholders. Those criteria and processes are described in “Proposal 1. Election of Directors - Process and Criteria for Nominating Directors,” “Other Information - Stockholder Director Nominees for Inclusion in Next Year’s Proxy Statement” and “Other Information - Stockholder Director Nominees Not Included in Next Year’s Proxy Statement.”</w:t>
            </w:r>
          </w:p>
          <w:p>
            <w:pPr>
              <w:pStyle w:val="TableContents"/>
              <w:bidi w:val="0"/>
              <w:spacing w:lineRule="auto" w:line="312" w:before="120" w:after="283"/>
              <w:jc w:val="left"/>
              <w:rPr>
                <w:rFonts w:ascii="Lato;sans-serif" w:hAnsi="Lato;sans-serif"/>
                <w:b w:val="false"/>
                <w:color w:val="000000"/>
                <w:sz w:val="19"/>
              </w:rPr>
            </w:pPr>
            <w:r>
              <w:rPr>
                <w:rFonts w:ascii="Lato;sans-serif" w:hAnsi="Lato;sans-serif"/>
                <w:b w:val="false"/>
                <w:color w:val="000000"/>
                <w:sz w:val="19"/>
              </w:rPr>
              <w:t>The Committee has a standing Sustainability Subcommittee to support the Committee in executing its oversight responsibilities for matters relating to sustainability, corporate social responsibilities, and corporate citizenship and as we continue to incorporate related risks and opportunities into the Board’s overall strategic decision-making. The Sustainability Subcommittee is chaired by independent director Dr. Jemison.</w:t>
            </w:r>
          </w:p>
        </w:tc>
      </w:tr>
      <w:tr>
        <w:trPr/>
        <w:tc>
          <w:tcPr>
            <w:tcW w:w="1816"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89" w:type="dxa"/>
            <w:gridSpan w:val="3"/>
            <w:tcBorders>
              <w:left w:val="single" w:sz="4" w:space="0" w:color="B3B3B3"/>
              <w:bottom w:val="single" w:sz="16" w:space="0" w:color="0046C8"/>
            </w:tcBorders>
            <w:tcMar>
              <w:top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629920"/>
                <wp:effectExtent l="0" t="0" r="0" b="0"/>
                <wp:wrapNone/>
                <wp:docPr id="136" name="Frame2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16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16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305" w:type="dxa"/>
        <w:jc w:val="left"/>
        <w:tblInd w:w="0" w:type="dxa"/>
        <w:tblLayout w:type="fixed"/>
        <w:tblCellMar>
          <w:top w:w="28" w:type="dxa"/>
          <w:left w:w="28" w:type="dxa"/>
          <w:bottom w:w="28" w:type="dxa"/>
          <w:right w:w="28" w:type="dxa"/>
        </w:tblCellMar>
      </w:tblPr>
      <w:tblGrid>
        <w:gridCol w:w="188"/>
        <w:gridCol w:w="166"/>
        <w:gridCol w:w="167"/>
        <w:gridCol w:w="521"/>
        <w:gridCol w:w="521"/>
        <w:gridCol w:w="742"/>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137"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5" descr=""/>
                          <pic:cNvPicPr>
                            <a:picLocks noChangeAspect="1" noChangeArrowheads="1"/>
                          </pic:cNvPicPr>
                        </pic:nvPicPr>
                        <pic:blipFill>
                          <a:blip r:embed="rId116"/>
                          <a:stretch>
                            <a:fillRect/>
                          </a:stretch>
                        </pic:blipFill>
                        <pic:spPr bwMode="auto">
                          <a:xfrm>
                            <a:off x="0" y="0"/>
                            <a:ext cx="228600" cy="180975"/>
                          </a:xfrm>
                          <a:prstGeom prst="rect">
                            <a:avLst/>
                          </a:prstGeom>
                        </pic:spPr>
                      </pic:pic>
                    </a:graphicData>
                  </a:graphic>
                </wp:inline>
              </w:drawing>
            </w:r>
            <w:r>
              <w:rPr>
                <w:color w:val="000000"/>
              </w:rPr>
              <w:t> </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Corporate governance</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94"/>
        <w:gridCol w:w="434"/>
        <w:gridCol w:w="434"/>
        <w:gridCol w:w="2621"/>
        <w:gridCol w:w="2621"/>
        <w:gridCol w:w="3601"/>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0046C8"/>
                <w:sz w:val="24"/>
              </w:rPr>
            </w:pPr>
            <w:r>
              <w:rPr>
                <w:rFonts w:ascii="Lato Bold;sans-serif" w:hAnsi="Lato Bold;sans-serif"/>
                <w:b/>
                <w:color w:val="0046C8"/>
                <w:sz w:val="24"/>
              </w:rPr>
              <w:t>Sustainability Subcommittee</w:t>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top w:val="single" w:sz="4" w:space="0" w:color="B3B3B3"/>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6"/>
              </w:rPr>
            </w:pPr>
            <w:r>
              <w:rPr>
                <w:rFonts w:ascii="Lato Bold;sans-serif" w:hAnsi="Lato Bold;sans-serif"/>
                <w:b/>
                <w:color w:val="000000"/>
                <w:sz w:val="16"/>
              </w:rPr>
              <w:t>Chair</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Mae C. Jemison, M.D.</w:t>
            </w:r>
          </w:p>
          <w:p>
            <w:pPr>
              <w:pStyle w:val="TableContents"/>
              <w:bidi w:val="0"/>
              <w:spacing w:lineRule="auto" w:line="312" w:before="160" w:after="283"/>
              <w:jc w:val="left"/>
              <w:rPr/>
            </w:pPr>
            <w:r>
              <w:rPr>
                <w:rFonts w:ascii="Lato Bold;sans-serif" w:hAnsi="Lato Bold;sans-serif"/>
                <w:b/>
                <w:color w:val="000000"/>
                <w:sz w:val="16"/>
              </w:rPr>
              <w:t>Meetings in 2024:</w:t>
            </w:r>
            <w:r>
              <w:rPr>
                <w:color w:val="000000"/>
              </w:rPr>
              <w:t xml:space="preserve"> </w:t>
            </w:r>
            <w:r>
              <w:rPr>
                <w:rFonts w:ascii="Lato;sans-serif" w:hAnsi="Lato;sans-serif"/>
                <w:b w:val="false"/>
                <w:color w:val="000000"/>
                <w:sz w:val="16"/>
              </w:rPr>
              <w:t>1</w:t>
            </w:r>
          </w:p>
        </w:tc>
        <w:tc>
          <w:tcPr>
            <w:tcW w:w="8843" w:type="dxa"/>
            <w:gridSpan w:val="3"/>
            <w:tcBorders>
              <w:left w:val="single" w:sz="4" w:space="0" w:color="B3B3B3"/>
            </w:tcBorders>
            <w:tcMar>
              <w:top w:w="0" w:type="dxa"/>
              <w:bottom w:w="0" w:type="dxa"/>
              <w:right w:w="0" w:type="dxa"/>
            </w:tcMar>
            <w:vAlign w:val="center"/>
          </w:tcPr>
          <w:p>
            <w:pPr>
              <w:pStyle w:val="TableContents"/>
              <w:bidi w:val="0"/>
              <w:spacing w:lineRule="auto" w:line="288" w:before="0" w:after="120"/>
              <w:jc w:val="left"/>
              <w:rPr>
                <w:rFonts w:ascii="Lato Bold;sans-serif" w:hAnsi="Lato Bold;sans-serif"/>
                <w:b/>
                <w:color w:val="0046C8"/>
                <w:sz w:val="19"/>
              </w:rPr>
            </w:pPr>
            <w:r>
              <w:rPr>
                <w:rFonts w:ascii="Lato Bold;sans-serif" w:hAnsi="Lato Bold;sans-serif"/>
                <w:b/>
                <w:color w:val="0046C8"/>
                <w:sz w:val="19"/>
              </w:rPr>
              <w:t>The Subcommittee’s principal functions, as specified in its charter, include the following:</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Reviewing environmental, social, consumer, legislative, regulatory, and public policy developments and trends that could impact our business operations, performance, and reputation</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Reviewing our environmental sustainability and social responsibility program and goals and monitoring progress toward achieving those goals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Reviewing investor sentiment related to our environmental and social footprint</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Reviewing stockholder proposals that relate to sustainability matters and making recommendations regarding the response to such proposals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Receiving updates regarding our relationships with key external stakeholders and partners that may have a significant impact on our business activities and performance</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Reviewing our environmental sustainability and corporate responsibility reports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Reviewing investments and developments in our research and development program and manufacturing, technology, engineering and distribution processes and methods with respect to environmental sustainability</w:t>
            </w:r>
          </w:p>
          <w:p>
            <w:pPr>
              <w:pStyle w:val="TableContents"/>
              <w:bidi w:val="0"/>
              <w:spacing w:lineRule="auto" w:line="312" w:before="80" w:after="283"/>
              <w:ind w:left="0" w:right="0" w:hanging="216"/>
              <w:jc w:val="left"/>
              <w:rPr/>
            </w:pPr>
            <w:r>
              <w:rPr>
                <w:color w:val="0046C8"/>
              </w:rPr>
              <w:t>•</w:t>
            </w:r>
            <w:r>
              <w:rPr>
                <w:rFonts w:ascii="Lato;sans-serif" w:hAnsi="Lato;sans-serif"/>
                <w:b w:val="false"/>
                <w:color w:val="000000"/>
                <w:sz w:val="19"/>
              </w:rPr>
              <w:t>Reviewing the company’s charitable contributions</w:t>
            </w:r>
          </w:p>
        </w:tc>
      </w:tr>
      <w:tr>
        <w:trPr/>
        <w:tc>
          <w:tcPr>
            <w:tcW w:w="1362"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43" w:type="dxa"/>
            <w:gridSpan w:val="3"/>
            <w:tcBorders>
              <w:left w:val="single" w:sz="4" w:space="0" w:color="B3B3B3"/>
              <w:bottom w:val="single" w:sz="16" w:space="0" w:color="0046C8"/>
            </w:tcBorders>
            <w:tcMar>
              <w:top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719"/>
        <w:gridCol w:w="632"/>
        <w:gridCol w:w="568"/>
        <w:gridCol w:w="2444"/>
        <w:gridCol w:w="2444"/>
        <w:gridCol w:w="3398"/>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0046C8"/>
                <w:sz w:val="24"/>
              </w:rPr>
            </w:pPr>
            <w:r>
              <w:rPr>
                <w:rFonts w:ascii="Lato Bold;sans-serif" w:hAnsi="Lato Bold;sans-serif"/>
                <w:b/>
                <w:color w:val="0046C8"/>
                <w:sz w:val="24"/>
              </w:rPr>
              <w:t>Executive Committee</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top w:val="single" w:sz="4" w:space="0" w:color="B3B3B3"/>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6"/>
              </w:rPr>
            </w:pPr>
            <w:r>
              <w:rPr>
                <w:rFonts w:ascii="Lato Bold;sans-serif" w:hAnsi="Lato Bold;sans-serif"/>
                <w:b/>
                <w:color w:val="000000"/>
                <w:sz w:val="16"/>
              </w:rPr>
              <w:t>Chair</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 xml:space="preserve">Sherilyn S. McCoy </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(Lead Independent Director)</w:t>
            </w:r>
          </w:p>
          <w:p>
            <w:pPr>
              <w:pStyle w:val="TableContents"/>
              <w:bidi w:val="0"/>
              <w:spacing w:lineRule="auto" w:line="312" w:before="160" w:after="283"/>
              <w:jc w:val="left"/>
              <w:rPr>
                <w:rFonts w:ascii="Lato Bold;sans-serif" w:hAnsi="Lato Bold;sans-serif"/>
                <w:b/>
                <w:color w:val="000000"/>
                <w:sz w:val="16"/>
              </w:rPr>
            </w:pPr>
            <w:r>
              <w:rPr>
                <w:rFonts w:ascii="Lato Bold;sans-serif" w:hAnsi="Lato Bold;sans-serif"/>
                <w:b/>
                <w:color w:val="000000"/>
                <w:sz w:val="16"/>
              </w:rPr>
              <w:t>Other Members</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John W. Culver</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Michael D. Hsu</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Dunia A. Shive</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Mark T. Smucker</w:t>
            </w:r>
          </w:p>
          <w:p>
            <w:pPr>
              <w:pStyle w:val="TableContents"/>
              <w:bidi w:val="0"/>
              <w:spacing w:lineRule="auto" w:line="312" w:before="160" w:after="283"/>
              <w:jc w:val="left"/>
              <w:rPr/>
            </w:pPr>
            <w:r>
              <w:rPr>
                <w:rFonts w:ascii="Lato Bold;sans-serif" w:hAnsi="Lato Bold;sans-serif"/>
                <w:b/>
                <w:color w:val="000000"/>
                <w:sz w:val="16"/>
              </w:rPr>
              <w:t>Meetings in 2024:</w:t>
            </w:r>
            <w:r>
              <w:rPr>
                <w:color w:val="000000"/>
              </w:rPr>
              <w:t xml:space="preserve"> </w:t>
            </w:r>
            <w:r>
              <w:rPr>
                <w:rFonts w:ascii="Lato;sans-serif" w:hAnsi="Lato;sans-serif"/>
                <w:b w:val="false"/>
                <w:color w:val="000000"/>
                <w:sz w:val="16"/>
              </w:rPr>
              <w:t>0</w:t>
            </w:r>
          </w:p>
        </w:tc>
        <w:tc>
          <w:tcPr>
            <w:tcW w:w="8286" w:type="dxa"/>
            <w:gridSpan w:val="3"/>
            <w:tcBorders>
              <w:left w:val="single" w:sz="4" w:space="0" w:color="B3B3B3"/>
            </w:tcBorders>
            <w:tcMar>
              <w:top w:w="0" w:type="dxa"/>
              <w:bottom w:w="0" w:type="dxa"/>
              <w:right w:w="0" w:type="dxa"/>
            </w:tcMar>
            <w:vAlign w:val="center"/>
          </w:tcPr>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The Committee’s principal function is to exercise, when necessary between Board meetings, the Board’s powers to direct our business and affairs.</w:t>
            </w:r>
          </w:p>
        </w:tc>
      </w:tr>
      <w:tr>
        <w:trPr/>
        <w:tc>
          <w:tcPr>
            <w:tcW w:w="1919"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left w:val="single" w:sz="4" w:space="0" w:color="B3B3B3"/>
              <w:bottom w:val="single" w:sz="16" w:space="0" w:color="0046C8"/>
            </w:tcBorders>
            <w:tcMar>
              <w:top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629920"/>
                <wp:effectExtent l="0" t="0" r="0" b="0"/>
                <wp:wrapNone/>
                <wp:docPr id="138" name="Frame2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17</w:t>
                            </w:r>
                          </w:p>
                        </w:tc>
                      </w:tr>
                    </w:tbl>
                    <w:p>
                      <w:pPr>
                        <w:pStyle w:val="TextBody"/>
                        <w:bidi w:val="0"/>
                        <w:spacing w:before="0" w:after="283"/>
                        <w:jc w:val="left"/>
                        <w:rPr/>
                      </w:pPr>
                      <w:r>
                        <w:rPr/>
                      </w:r>
                    </w:p>
                  </w:txbxContent>
                </v:textbox>
                <w10:wrap type="none"/>
              </v:rect>
            </w:pict>
          </mc:Fallback>
        </mc:AlternateContent>
      </w:r>
    </w:p>
    <w:tbl>
      <w:tblPr>
        <w:tblW w:w="2306" w:type="dxa"/>
        <w:jc w:val="left"/>
        <w:tblInd w:w="0" w:type="dxa"/>
        <w:tblLayout w:type="fixed"/>
        <w:tblCellMar>
          <w:top w:w="28" w:type="dxa"/>
          <w:left w:w="28" w:type="dxa"/>
          <w:bottom w:w="28" w:type="dxa"/>
          <w:right w:w="28" w:type="dxa"/>
        </w:tblCellMar>
      </w:tblPr>
      <w:tblGrid>
        <w:gridCol w:w="635"/>
        <w:gridCol w:w="559"/>
        <w:gridCol w:w="561"/>
        <w:gridCol w:w="161"/>
        <w:gridCol w:w="161"/>
        <w:gridCol w:w="229"/>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Corporate governance</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13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6" descr=""/>
                          <pic:cNvPicPr>
                            <a:picLocks noChangeAspect="1" noChangeArrowheads="1"/>
                          </pic:cNvPicPr>
                        </pic:nvPicPr>
                        <pic:blipFill>
                          <a:blip r:embed="rId117"/>
                          <a:stretch>
                            <a:fillRect/>
                          </a:stretch>
                        </pic:blipFill>
                        <pic:spPr bwMode="auto">
                          <a:xfrm>
                            <a:off x="0" y="0"/>
                            <a:ext cx="228600" cy="180975"/>
                          </a:xfrm>
                          <a:prstGeom prst="rect">
                            <a:avLst/>
                          </a:prstGeom>
                        </pic:spPr>
                      </pic:pic>
                    </a:graphicData>
                  </a:graphic>
                </wp:inline>
              </w:drawing>
            </w:r>
            <w:r>
              <w:rPr>
                <w:color w:val="000000"/>
              </w:rPr>
              <w:t> </w:t>
            </w:r>
          </w:p>
        </w:tc>
      </w:tr>
      <w:tr>
        <w:trPr/>
        <w:tc>
          <w:tcPr>
            <w:tcW w:w="175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Compensation Committee Interlocks and Insider Participation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None of the members of the Management Development and Compensation Committee is a current or former officer or employee of Kimberly-Clark. No interlocking relationship exists between the members of our Board of Directors or the Management Development and Compensation Committee and the board of directors or compensation committee of any other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Stockholder Rights</w:t>
      </w:r>
    </w:p>
    <w:p>
      <w:pPr>
        <w:pStyle w:val="TextBody"/>
        <w:bidi w:val="0"/>
        <w:spacing w:lineRule="auto" w:line="312" w:before="120" w:after="120"/>
        <w:jc w:val="left"/>
        <w:rPr/>
      </w:pPr>
      <w:r>
        <w:rPr>
          <w:rFonts w:ascii="Lato;sans-serif" w:hAnsi="Lato;sans-serif"/>
          <w:b w:val="false"/>
          <w:i/>
          <w:color w:val="000000"/>
          <w:sz w:val="19"/>
        </w:rPr>
        <w:t xml:space="preserve">Proxy Access By-Law. </w:t>
      </w:r>
      <w:r>
        <w:rPr>
          <w:rFonts w:ascii="Lato;sans-serif" w:hAnsi="Lato;sans-serif"/>
          <w:b w:val="false"/>
          <w:color w:val="000000"/>
          <w:sz w:val="19"/>
        </w:rPr>
        <w:t>Eligible stockholders may nominate candidates for election to the Board under our “proxy access” By-Law. Proxy access candidates will be included in our proxy materials. The proxy access By-Law permits a stockholder, or a group of up to 20 stockholders, owning three percent or more of our outstanding common stock continuously for at least three years to nominate and include in our proxy materials directors constituting up to two individuals or 20 percent of the Board (whichever is greater).</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Stockholders who wish to nominate directors under our proxy access By-Law should follow the instructions under “Other Information - Stockholder Director Nominees for Inclusion in Next Year’s Proxy Statement.”</w:t>
      </w:r>
    </w:p>
    <w:p>
      <w:pPr>
        <w:pStyle w:val="TextBody"/>
        <w:bidi w:val="0"/>
        <w:spacing w:lineRule="auto" w:line="312" w:before="120" w:after="120"/>
        <w:jc w:val="left"/>
        <w:rPr/>
      </w:pPr>
      <w:r>
        <w:rPr>
          <w:rFonts w:ascii="Lato;sans-serif" w:hAnsi="Lato;sans-serif"/>
          <w:b w:val="false"/>
          <w:i/>
          <w:color w:val="000000"/>
          <w:sz w:val="19"/>
        </w:rPr>
        <w:t xml:space="preserve">Special Stockholder Meetings. </w:t>
      </w:r>
      <w:r>
        <w:rPr>
          <w:rFonts w:ascii="Lato;sans-serif" w:hAnsi="Lato;sans-serif"/>
          <w:b w:val="false"/>
          <w:color w:val="000000"/>
          <w:sz w:val="19"/>
        </w:rPr>
        <w:t>Our Certificate of Incorporation allows the holders of 15 percent or more of our issued and outstanding shares of capital stock to request that a special meeting of stockholders be called, subject to procedures and other requirements set forth in our By-Laws.</w:t>
      </w:r>
    </w:p>
    <w:p>
      <w:pPr>
        <w:pStyle w:val="TextBody"/>
        <w:bidi w:val="0"/>
        <w:spacing w:lineRule="auto" w:line="312" w:before="120" w:after="120"/>
        <w:jc w:val="left"/>
        <w:rPr/>
      </w:pPr>
      <w:r>
        <w:rPr>
          <w:rFonts w:ascii="Lato;sans-serif" w:hAnsi="Lato;sans-serif"/>
          <w:b w:val="false"/>
          <w:i/>
          <w:color w:val="000000"/>
          <w:sz w:val="19"/>
        </w:rPr>
        <w:t xml:space="preserve">Board Policy on Stockholder Rights Plans. </w:t>
      </w:r>
      <w:r>
        <w:rPr>
          <w:rFonts w:ascii="Lato;sans-serif" w:hAnsi="Lato;sans-serif"/>
          <w:b w:val="false"/>
          <w:color w:val="000000"/>
          <w:sz w:val="19"/>
        </w:rPr>
        <w:t>We do not have a “poison pill” or stockholder rights plan. If we were to adopt a stockholder rights plan, the Board would seek prior stockholder approval of the plan unless, due to timing constraints or other reasons, a majority of Independent Directors of the Board determines that it would be in the best interests of stockholders to adopt a plan before obtaining stockholder approval. If a stockholder rights plan is adopted without prior stockholder approval, the plan must either be ratified by stockholders or must expire, without being renewed or replaced, within one year. The Nominating and Corporate Governance Committee reviews this policy statement periodically and reports to the Board on any recommendations it may have concerning the policy.</w:t>
      </w:r>
    </w:p>
    <w:p>
      <w:pPr>
        <w:pStyle w:val="TextBody"/>
        <w:bidi w:val="0"/>
        <w:spacing w:lineRule="auto" w:line="312" w:before="120" w:after="120"/>
        <w:jc w:val="left"/>
        <w:rPr/>
      </w:pPr>
      <w:r>
        <w:rPr>
          <w:rFonts w:ascii="Lato;sans-serif" w:hAnsi="Lato;sans-serif"/>
          <w:b w:val="false"/>
          <w:i/>
          <w:color w:val="000000"/>
          <w:sz w:val="19"/>
        </w:rPr>
        <w:t xml:space="preserve">Simple Majority Voting Provisions. </w:t>
      </w:r>
      <w:r>
        <w:rPr>
          <w:rFonts w:ascii="Lato;sans-serif" w:hAnsi="Lato;sans-serif"/>
          <w:b w:val="false"/>
          <w:color w:val="000000"/>
          <w:sz w:val="19"/>
        </w:rPr>
        <w:t>Our Certificate of Incorporation does not include supermajority voting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Communicating with Directors; Stockholder Engagement Policy</w:t>
      </w:r>
    </w:p>
    <w:p>
      <w:pPr>
        <w:pStyle w:val="TextBody"/>
        <w:bidi w:val="0"/>
        <w:spacing w:lineRule="auto" w:line="312" w:before="120" w:after="120"/>
        <w:jc w:val="left"/>
        <w:rPr/>
      </w:pPr>
      <w:r>
        <w:rPr>
          <w:rFonts w:ascii="Lato;sans-serif" w:hAnsi="Lato;sans-serif"/>
          <w:b w:val="false"/>
          <w:color w:val="000000"/>
          <w:sz w:val="19"/>
        </w:rPr>
        <w:t xml:space="preserve">The Board has established a process by which stockholders and other interested parties may communicate with the Board, including the Lead Director. That process can be found in the Investors section of our website at </w:t>
      </w:r>
      <w:r>
        <w:rPr>
          <w:rFonts w:ascii="Lato;sans-serif" w:hAnsi="Lato;sans-serif"/>
          <w:b/>
          <w:color w:val="000000"/>
          <w:sz w:val="19"/>
        </w:rPr>
        <w:t>www.kimberly-clark.com</w:t>
      </w:r>
      <w:r>
        <w:rPr>
          <w:color w:val="000000"/>
        </w:rPr>
        <w:t xml:space="preserve"> </w:t>
      </w:r>
      <w:r>
        <w:rPr>
          <w:rFonts w:ascii="Lato;sans-serif" w:hAnsi="Lato;sans-serif"/>
          <w:b w:val="false"/>
          <w:color w:val="000000"/>
          <w:sz w:val="19"/>
        </w:rPr>
        <w:t>(Investors/Corporate Governance tab).</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Under our stockholder engagement policy, set forth in our Corporate Governance Policies, stockholders who wish to meet directly with members of our Board may send a meeting request to our Lead Director who will consider the request in consultation with the Corporate Secretary. Requests should include information about the requesting party (including the number of shares held), the reason for requesting the meeting and the topics to be discussed.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629920"/>
                <wp:effectExtent l="0" t="0" r="0" b="0"/>
                <wp:wrapNone/>
                <wp:docPr id="140" name="Frame2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18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18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305" w:type="dxa"/>
        <w:jc w:val="left"/>
        <w:tblInd w:w="0" w:type="dxa"/>
        <w:tblLayout w:type="fixed"/>
        <w:tblCellMar>
          <w:top w:w="28" w:type="dxa"/>
          <w:left w:w="28" w:type="dxa"/>
          <w:bottom w:w="28" w:type="dxa"/>
          <w:right w:w="28" w:type="dxa"/>
        </w:tblCellMar>
      </w:tblPr>
      <w:tblGrid>
        <w:gridCol w:w="188"/>
        <w:gridCol w:w="166"/>
        <w:gridCol w:w="167"/>
        <w:gridCol w:w="521"/>
        <w:gridCol w:w="521"/>
        <w:gridCol w:w="742"/>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14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17" descr=""/>
                          <pic:cNvPicPr>
                            <a:picLocks noChangeAspect="1" noChangeArrowheads="1"/>
                          </pic:cNvPicPr>
                        </pic:nvPicPr>
                        <pic:blipFill>
                          <a:blip r:embed="rId118"/>
                          <a:stretch>
                            <a:fillRect/>
                          </a:stretch>
                        </pic:blipFill>
                        <pic:spPr bwMode="auto">
                          <a:xfrm>
                            <a:off x="0" y="0"/>
                            <a:ext cx="228600" cy="180975"/>
                          </a:xfrm>
                          <a:prstGeom prst="rect">
                            <a:avLst/>
                          </a:prstGeom>
                        </pic:spPr>
                      </pic:pic>
                    </a:graphicData>
                  </a:graphic>
                </wp:inline>
              </w:drawing>
            </w:r>
            <w:r>
              <w:rPr>
                <w:color w:val="000000"/>
              </w:rPr>
              <w:t> </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Corporate governance</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Stockholder Engagement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2024, we continued our focus on regularly engaging with investors to understand their perspectives on a variety of topics. This process helps ensure that management and the Board understand and consider the issues that matter most to our stockholders and enables us to address them effectively. We reached out to stockholders representing approximately 51 percent of our common stock and engaged with stockholders representing approximately 18 percent of our common stock. We discussed many key topics, including our approach to director refreshment, our corporate governance practices, significant enhancements to our corporate social responsibility and sustainability disclosures, and our executive compensation program.</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Investors continued to express broad support for our governance structures and executive compensation program and shared their views on matters related to shareholder rights and our independent, well-qualified Board. Further, investors highlighted the importance of continuing our ongoing engagement with them on corporate social responsibility and sustainability initiatives. Our corporate governance profile, executive compensation programs, and sustainability initiatives reflect the input of stockholders from our outreach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629920"/>
                <wp:effectExtent l="0" t="0" r="0" b="0"/>
                <wp:wrapNone/>
                <wp:docPr id="142" name="Frame2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19</w:t>
                            </w:r>
                          </w:p>
                        </w:tc>
                      </w:tr>
                    </w:tbl>
                    <w:p>
                      <w:pPr>
                        <w:pStyle w:val="TextBody"/>
                        <w:bidi w:val="0"/>
                        <w:spacing w:before="0" w:after="283"/>
                        <w:jc w:val="left"/>
                        <w:rPr/>
                      </w:pPr>
                      <w:r>
                        <w:rPr/>
                      </w:r>
                    </w:p>
                  </w:txbxContent>
                </v:textbox>
                <w10:wrap type="none"/>
              </v:rect>
            </w:pict>
          </mc:Fallback>
        </mc:AlternateContent>
      </w:r>
    </w:p>
    <w:tbl>
      <w:tblPr>
        <w:tblW w:w="2306" w:type="dxa"/>
        <w:jc w:val="left"/>
        <w:tblInd w:w="0" w:type="dxa"/>
        <w:tblLayout w:type="fixed"/>
        <w:tblCellMar>
          <w:top w:w="28" w:type="dxa"/>
          <w:left w:w="28" w:type="dxa"/>
          <w:bottom w:w="28" w:type="dxa"/>
          <w:right w:w="28" w:type="dxa"/>
        </w:tblCellMar>
      </w:tblPr>
      <w:tblGrid>
        <w:gridCol w:w="635"/>
        <w:gridCol w:w="559"/>
        <w:gridCol w:w="561"/>
        <w:gridCol w:w="161"/>
        <w:gridCol w:w="161"/>
        <w:gridCol w:w="229"/>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Corporate governance</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14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18" descr=""/>
                          <pic:cNvPicPr>
                            <a:picLocks noChangeAspect="1" noChangeArrowheads="1"/>
                          </pic:cNvPicPr>
                        </pic:nvPicPr>
                        <pic:blipFill>
                          <a:blip r:embed="rId119"/>
                          <a:stretch>
                            <a:fillRect/>
                          </a:stretch>
                        </pic:blipFill>
                        <pic:spPr bwMode="auto">
                          <a:xfrm>
                            <a:off x="0" y="0"/>
                            <a:ext cx="228600" cy="180975"/>
                          </a:xfrm>
                          <a:prstGeom prst="rect">
                            <a:avLst/>
                          </a:prstGeom>
                        </pic:spPr>
                      </pic:pic>
                    </a:graphicData>
                  </a:graphic>
                </wp:inline>
              </w:drawing>
            </w:r>
            <w:r>
              <w:rPr>
                <w:color w:val="000000"/>
              </w:rPr>
              <w:t> </w:t>
            </w:r>
          </w:p>
        </w:tc>
      </w:tr>
      <w:tr>
        <w:trPr/>
        <w:tc>
          <w:tcPr>
            <w:tcW w:w="175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Our Approach to Sustainability</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Everything we do at Kimberly-Clark is connected to our ambition and purpose to provide Better Care for a Better World. Our teams are working to provide the best experiences for our consumers, customers, and the communities where we work and live. Our purpose brings together Kimberly-Clark’s heritage of innovation and our commitment to providing care with our intention to be better in the areas that we believe will deliver value: providing better products, contributing to a better planet, creating a better workplace, and fostering a better society.</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Better Care for a Better World is a summation of our best ambitions over the past 151 years of business and all we aspire to do in the future. In 2020, Kimberly-Clark set 2030 aspirations to drive action that we believe is proportionate to the challenges and opportunities that lie ahead. We strive for social impact that addresses inequities in access to hygiene, sanitation, and education. In our operations and value chain, we work to reduce our environmental impacts associated with single-use plastics, forest reliance, greenhouse gas (GHG) emissions, and water use.</w:t>
      </w:r>
    </w:p>
    <w:tbl>
      <w:tblPr>
        <w:tblW w:w="10205" w:type="dxa"/>
        <w:jc w:val="left"/>
        <w:tblInd w:w="0" w:type="dxa"/>
        <w:tblLayout w:type="fixed"/>
        <w:tblCellMar>
          <w:top w:w="28" w:type="dxa"/>
          <w:left w:w="28" w:type="dxa"/>
          <w:bottom w:w="28" w:type="dxa"/>
          <w:right w:w="28" w:type="dxa"/>
        </w:tblCellMar>
      </w:tblPr>
      <w:tblGrid>
        <w:gridCol w:w="378"/>
        <w:gridCol w:w="333"/>
        <w:gridCol w:w="335"/>
        <w:gridCol w:w="494"/>
        <w:gridCol w:w="363"/>
        <w:gridCol w:w="254"/>
        <w:gridCol w:w="1785"/>
        <w:gridCol w:w="1236"/>
        <w:gridCol w:w="1239"/>
        <w:gridCol w:w="1176"/>
        <w:gridCol w:w="1076"/>
        <w:gridCol w:w="1536"/>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215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Strategic Focus</w:t>
            </w:r>
          </w:p>
        </w:tc>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Our 2030 Aspiration</w:t>
            </w:r>
          </w:p>
        </w:tc>
        <w:tc>
          <w:tcPr>
            <w:tcW w:w="37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2030 Goal</w:t>
            </w:r>
          </w:p>
        </w:tc>
      </w:tr>
      <w:tr>
        <w:trPr/>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561975" cy="514350"/>
                  <wp:effectExtent l="0" t="0" r="0" b="0"/>
                  <wp:docPr id="14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9" descr=""/>
                          <pic:cNvPicPr>
                            <a:picLocks noChangeAspect="1" noChangeArrowheads="1"/>
                          </pic:cNvPicPr>
                        </pic:nvPicPr>
                        <pic:blipFill>
                          <a:blip r:embed="rId120"/>
                          <a:stretch>
                            <a:fillRect/>
                          </a:stretch>
                        </pic:blipFill>
                        <pic:spPr bwMode="auto">
                          <a:xfrm>
                            <a:off x="0" y="0"/>
                            <a:ext cx="561975" cy="514350"/>
                          </a:xfrm>
                          <a:prstGeom prst="rect">
                            <a:avLst/>
                          </a:prstGeom>
                        </pic:spPr>
                      </pic:pic>
                    </a:graphicData>
                  </a:graphic>
                </wp:inline>
              </w:drawing>
            </w:r>
            <w:r>
              <w:rPr>
                <w:color w:val="000000"/>
              </w:rPr>
              <w:t> </w:t>
            </w:r>
          </w:p>
        </w:tc>
        <w:tc>
          <w:tcPr>
            <w:tcW w:w="111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Social Impact</w:t>
            </w:r>
          </w:p>
        </w:tc>
        <w:tc>
          <w:tcPr>
            <w:tcW w:w="42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Provide product innovation and social and community program investments that increase access to sanitation, help children thrive, and empower women and girls.</w:t>
            </w:r>
          </w:p>
        </w:tc>
        <w:tc>
          <w:tcPr>
            <w:tcW w:w="378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Advance the well-being of 1 billion people in vulnerable and underserved communities.</w:t>
            </w:r>
          </w:p>
        </w:tc>
      </w:tr>
      <w:tr>
        <w:trPr/>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561975" cy="514350"/>
                  <wp:effectExtent l="0" t="0" r="0" b="0"/>
                  <wp:docPr id="14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0" descr=""/>
                          <pic:cNvPicPr>
                            <a:picLocks noChangeAspect="1" noChangeArrowheads="1"/>
                          </pic:cNvPicPr>
                        </pic:nvPicPr>
                        <pic:blipFill>
                          <a:blip r:embed="rId121"/>
                          <a:stretch>
                            <a:fillRect/>
                          </a:stretch>
                        </pic:blipFill>
                        <pic:spPr bwMode="auto">
                          <a:xfrm>
                            <a:off x="0" y="0"/>
                            <a:ext cx="561975" cy="514350"/>
                          </a:xfrm>
                          <a:prstGeom prst="rect">
                            <a:avLst/>
                          </a:prstGeom>
                        </pic:spPr>
                      </pic:pic>
                    </a:graphicData>
                  </a:graphic>
                </wp:inline>
              </w:drawing>
            </w:r>
            <w:r>
              <w:rPr>
                <w:color w:val="000000"/>
              </w:rPr>
              <w:t> </w:t>
            </w:r>
          </w:p>
        </w:tc>
        <w:tc>
          <w:tcPr>
            <w:tcW w:w="111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Plastics Footprint</w:t>
            </w:r>
          </w:p>
        </w:tc>
        <w:tc>
          <w:tcPr>
            <w:tcW w:w="42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Deliver solutions that incorporate more renewable or recycled materials and materials that can be regenerated or repurposed after use.</w:t>
            </w:r>
          </w:p>
        </w:tc>
        <w:tc>
          <w:tcPr>
            <w:tcW w:w="378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Reduce plastics footprint by 50%.</w:t>
            </w:r>
          </w:p>
        </w:tc>
      </w:tr>
      <w:tr>
        <w:trPr/>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561975" cy="514350"/>
                  <wp:effectExtent l="0" t="0" r="0" b="0"/>
                  <wp:docPr id="146"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1" descr=""/>
                          <pic:cNvPicPr>
                            <a:picLocks noChangeAspect="1" noChangeArrowheads="1"/>
                          </pic:cNvPicPr>
                        </pic:nvPicPr>
                        <pic:blipFill>
                          <a:blip r:embed="rId122"/>
                          <a:stretch>
                            <a:fillRect/>
                          </a:stretch>
                        </pic:blipFill>
                        <pic:spPr bwMode="auto">
                          <a:xfrm>
                            <a:off x="0" y="0"/>
                            <a:ext cx="561975" cy="514350"/>
                          </a:xfrm>
                          <a:prstGeom prst="rect">
                            <a:avLst/>
                          </a:prstGeom>
                        </pic:spPr>
                      </pic:pic>
                    </a:graphicData>
                  </a:graphic>
                </wp:inline>
              </w:drawing>
            </w:r>
            <w:r>
              <w:rPr>
                <w:color w:val="000000"/>
              </w:rPr>
              <w:t> </w:t>
            </w:r>
          </w:p>
        </w:tc>
        <w:tc>
          <w:tcPr>
            <w:tcW w:w="111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Forests Footprint</w:t>
            </w:r>
          </w:p>
        </w:tc>
        <w:tc>
          <w:tcPr>
            <w:tcW w:w="42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Address the climate and biodiversity crises by reducing reliance on fiber from natural forests.</w:t>
            </w:r>
          </w:p>
        </w:tc>
        <w:tc>
          <w:tcPr>
            <w:tcW w:w="378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Reduce Natural Forest Fiber footprint by 50% from a 2011 base year.</w:t>
            </w:r>
          </w:p>
        </w:tc>
      </w:tr>
      <w:tr>
        <w:trPr/>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color w:val="000000"/>
              </w:rPr>
              <w:t> </w:t>
            </w:r>
            <w:r>
              <w:rPr/>
              <w:drawing>
                <wp:inline distT="0" distB="0" distL="0" distR="0">
                  <wp:extent cx="561975" cy="514350"/>
                  <wp:effectExtent l="0" t="0" r="0" b="0"/>
                  <wp:docPr id="147"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2" descr=""/>
                          <pic:cNvPicPr>
                            <a:picLocks noChangeAspect="1" noChangeArrowheads="1"/>
                          </pic:cNvPicPr>
                        </pic:nvPicPr>
                        <pic:blipFill>
                          <a:blip r:embed="rId123"/>
                          <a:stretch>
                            <a:fillRect/>
                          </a:stretch>
                        </pic:blipFill>
                        <pic:spPr bwMode="auto">
                          <a:xfrm>
                            <a:off x="0" y="0"/>
                            <a:ext cx="561975" cy="514350"/>
                          </a:xfrm>
                          <a:prstGeom prst="rect">
                            <a:avLst/>
                          </a:prstGeom>
                        </pic:spPr>
                      </pic:pic>
                    </a:graphicData>
                  </a:graphic>
                </wp:inline>
              </w:drawing>
            </w:r>
          </w:p>
        </w:tc>
        <w:tc>
          <w:tcPr>
            <w:tcW w:w="111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Carbon Footprint</w:t>
            </w:r>
          </w:p>
        </w:tc>
        <w:tc>
          <w:tcPr>
            <w:tcW w:w="42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Increase energy efficiency while seeking lower carbon solutions.</w:t>
            </w:r>
          </w:p>
        </w:tc>
        <w:tc>
          <w:tcPr>
            <w:tcW w:w="3788"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Reduce absolute greenhouse gas (GHG) emissions (Scopes 1 and 2) by 50% over 2015 base year. Reduce value chain emissions (Scope 3) by 20%.*</w:t>
            </w:r>
          </w:p>
        </w:tc>
      </w:tr>
      <w:tr>
        <w:trPr/>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6" w:type="dxa"/>
            <w:gridSpan w:val="3"/>
            <w:tcBorders/>
            <w:tcMar>
              <w:top w:w="0" w:type="dxa"/>
              <w:left w:w="0" w:type="dxa"/>
              <w:bottom w:w="0" w:type="dxa"/>
              <w:right w:w="0" w:type="dxa"/>
            </w:tcMar>
            <w:vAlign w:val="center"/>
          </w:tcPr>
          <w:p>
            <w:pPr>
              <w:pStyle w:val="TableContents"/>
              <w:bidi w:val="0"/>
              <w:spacing w:lineRule="auto" w:line="312" w:before="120" w:after="283"/>
              <w:jc w:val="left"/>
              <w:rPr/>
            </w:pPr>
            <w:r>
              <w:rPr/>
              <w:drawing>
                <wp:inline distT="0" distB="0" distL="0" distR="0">
                  <wp:extent cx="561975" cy="514350"/>
                  <wp:effectExtent l="0" t="0" r="0" b="0"/>
                  <wp:docPr id="148"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3" descr=""/>
                          <pic:cNvPicPr>
                            <a:picLocks noChangeAspect="1" noChangeArrowheads="1"/>
                          </pic:cNvPicPr>
                        </pic:nvPicPr>
                        <pic:blipFill>
                          <a:blip r:embed="rId124"/>
                          <a:stretch>
                            <a:fillRect/>
                          </a:stretch>
                        </pic:blipFill>
                        <pic:spPr bwMode="auto">
                          <a:xfrm>
                            <a:off x="0" y="0"/>
                            <a:ext cx="561975" cy="514350"/>
                          </a:xfrm>
                          <a:prstGeom prst="rect">
                            <a:avLst/>
                          </a:prstGeom>
                        </pic:spPr>
                      </pic:pic>
                    </a:graphicData>
                  </a:graphic>
                </wp:inline>
              </w:drawing>
            </w:r>
            <w:r>
              <w:rPr>
                <w:color w:val="000000"/>
              </w:rPr>
              <w:t> </w:t>
            </w:r>
          </w:p>
        </w:tc>
        <w:tc>
          <w:tcPr>
            <w:tcW w:w="111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Water Footprint</w:t>
            </w:r>
          </w:p>
        </w:tc>
        <w:tc>
          <w:tcPr>
            <w:tcW w:w="42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Reduce water use at sites in watersheds under stress while supporting community-based water programs.</w:t>
            </w:r>
          </w:p>
        </w:tc>
        <w:tc>
          <w:tcPr>
            <w:tcW w:w="3788" w:type="dxa"/>
            <w:gridSpan w:val="3"/>
            <w:tcBorders/>
            <w:tcMar>
              <w:top w:w="0" w:type="dxa"/>
              <w:left w:w="0" w:type="dxa"/>
              <w:bottom w:w="0" w:type="dxa"/>
              <w:right w:w="0" w:type="dxa"/>
            </w:tcMar>
            <w:vAlign w:val="center"/>
          </w:tcPr>
          <w:p>
            <w:pPr>
              <w:pStyle w:val="TableContents"/>
              <w:bidi w:val="0"/>
              <w:spacing w:lineRule="auto" w:line="312" w:before="120" w:after="283"/>
              <w:jc w:val="left"/>
              <w:rPr>
                <w:rFonts w:ascii="Lato;sans-serif" w:hAnsi="Lato;sans-serif"/>
                <w:b w:val="false"/>
                <w:color w:val="000000"/>
                <w:sz w:val="19"/>
              </w:rPr>
            </w:pPr>
            <w:r>
              <w:rPr>
                <w:rFonts w:ascii="Lato;sans-serif" w:hAnsi="Lato;sans-serif"/>
                <w:b w:val="false"/>
                <w:color w:val="000000"/>
                <w:sz w:val="19"/>
              </w:rPr>
              <w:t>Reduce water footprint in water-stressed manufacturing sites by 50% from a 2015 base year.</w:t>
            </w:r>
          </w:p>
        </w:tc>
      </w:tr>
      <w:tr>
        <w:trPr/>
        <w:tc>
          <w:tcPr>
            <w:tcW w:w="1046"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rFonts w:ascii="Lato;sans-serif" w:hAnsi="Lato;sans-serif"/>
          <w:b w:val="false"/>
          <w:color w:val="000000"/>
          <w:sz w:val="16"/>
        </w:rPr>
      </w:pPr>
      <w:r>
        <w:rPr>
          <w:rFonts w:ascii="Lato;sans-serif" w:hAnsi="Lato;sans-serif"/>
          <w:b w:val="false"/>
          <w:color w:val="000000"/>
          <w:sz w:val="16"/>
        </w:rPr>
        <w:t>*    Reduction target is focused on emissions from the Greenhouse Gas Protocol's Scope 3 Category 1 (Purchased Goods and Services) and Category 12 (End of Life Treatment of Sold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629920"/>
                <wp:effectExtent l="0" t="0" r="0" b="0"/>
                <wp:wrapNone/>
                <wp:docPr id="149" name="Frame2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20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20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305" w:type="dxa"/>
        <w:jc w:val="left"/>
        <w:tblInd w:w="0" w:type="dxa"/>
        <w:tblLayout w:type="fixed"/>
        <w:tblCellMar>
          <w:top w:w="28" w:type="dxa"/>
          <w:left w:w="28" w:type="dxa"/>
          <w:bottom w:w="28" w:type="dxa"/>
          <w:right w:w="28" w:type="dxa"/>
        </w:tblCellMar>
      </w:tblPr>
      <w:tblGrid>
        <w:gridCol w:w="188"/>
        <w:gridCol w:w="166"/>
        <w:gridCol w:w="167"/>
        <w:gridCol w:w="521"/>
        <w:gridCol w:w="521"/>
        <w:gridCol w:w="742"/>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15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24" descr=""/>
                          <pic:cNvPicPr>
                            <a:picLocks noChangeAspect="1" noChangeArrowheads="1"/>
                          </pic:cNvPicPr>
                        </pic:nvPicPr>
                        <pic:blipFill>
                          <a:blip r:embed="rId125"/>
                          <a:stretch>
                            <a:fillRect/>
                          </a:stretch>
                        </pic:blipFill>
                        <pic:spPr bwMode="auto">
                          <a:xfrm>
                            <a:off x="0" y="0"/>
                            <a:ext cx="228600" cy="180975"/>
                          </a:xfrm>
                          <a:prstGeom prst="rect">
                            <a:avLst/>
                          </a:prstGeom>
                        </pic:spPr>
                      </pic:pic>
                    </a:graphicData>
                  </a:graphic>
                </wp:inline>
              </w:drawing>
            </w:r>
            <w:r>
              <w:rPr>
                <w:color w:val="000000"/>
              </w:rPr>
              <w:t> </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Corporate governance</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 xml:space="preserve">Board Oversight and Governance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Board has established and approved the framework for our sustainability-related policies and procedures, including environmental stewardship, energy and climate, fiber sourcing, waste and water management, product safety, charitable contributions, human rights, labor, and culture. As part of their oversight roles, the Board and the Nominating and Corporate Governance Committee receive regular reports from management on these topics, our goals, and our progress toward achieving them.</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Board oversees risk management, including risks related to environmental issues, including climate-related risks and opportunities, and social topics. The Board is focused on our long-term business strategy, including fostering sustainability-driven innovations, and incorporates our sustainability risks and opportunities into its overall strategic decision-making. Sustainability risk areas for our company include shifting customer and consumer preferences toward sustainable products, increasing regulation and mandates related to single-use plastics and greenhouse gas emissions, supply chain risks related to water security and deforestation, and the cost of the commodities and natural resources required to make and market our products.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Nominating and Corporate Governance Committee of the Board maintains a standing Sustainability Subcommittee to support the Committee in executing its oversight responsibilities for matters relating to sustainability, corporate social responsibilities, and corporate citizenship and as we continue to incorporate related risks and opportunities into the Board’s overall strategic decision-making. The Sustainability Subcommittee is chaired by independent director Dr. Mae Jemison.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Recent Results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2024, we published our 2023 achievements in our Global Sustainability Report, which shows significant progress towards our goals. Highlights include:</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Better Planet: We surpassed our 2030 water footprint target and bolstered our utilization of alternative energy sources such as wind and solar power.</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Better Workplace: We further strengthened our human rights due diligence and supplier engagement processes and continued to provide opportunities for our employees to participate in fostering a culture of inclusion.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Better Products: We reduced our plastic footprint by introducing our first-ever Kotex feminine hygiene paper pouch, and expanding our offering of plastic-free baby wipes and reusable menstrual and incontinence solutions in certain local markets.</w:t>
      </w:r>
    </w:p>
    <w:p>
      <w:pPr>
        <w:pStyle w:val="TextBody"/>
        <w:bidi w:val="0"/>
        <w:spacing w:lineRule="auto" w:line="312" w:before="80" w:after="120"/>
        <w:ind w:left="0" w:right="0" w:hanging="216"/>
        <w:jc w:val="left"/>
        <w:rPr/>
      </w:pPr>
      <w:r>
        <w:rPr>
          <w:color w:val="0046C8"/>
        </w:rPr>
        <w:t>•</w:t>
      </w:r>
      <w:r>
        <w:rPr>
          <w:rFonts w:ascii="Lato;sans-serif" w:hAnsi="Lato;sans-serif"/>
          <w:b w:val="false"/>
          <w:color w:val="000000"/>
          <w:sz w:val="19"/>
        </w:rPr>
        <w:t>Better Society: Our brand programs, combined with global and local partnerships, positively impacted more than 100 million individuals worldwide.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SBTi-approved targets for carbon reduction include a 50 percent reduction in Scope 1 + 2 GHG emissions and 20 percent reduction in Scope 3 GHG emissions from the purchased goods and services and end-of-life treatment of sold products categories by 2030 (vs. a 2015 base year).</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We continue to progress our multi-pronged strategy to reduce Kimberly-Clark’s scope 1 and 2 GHG emissions through a combination of energy conservation, alternative/renewable energy projects and manufacturing footprint optimization.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2023, we:</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Achieved an absolute reduction in operational (Scope 1 and 2) GHG emissions of 40.9 percent and a 10.4 percent energy efficiency improvement versus our 2015 baseline.</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This GHG reduction included our use of 1.28M megawatt-hours (MWh) of renewable electricity sourced from wind and solar projects.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In our Latin America Operations (LAO) we utilized Lean Six Sigma Black Belt principles to generate more than $350,000 in savings due to the reduction of 665 MW and 172,000 gallons of liquefied petroleum gas used in the operation. Together with the Lean Energy methodology, this contributed to a 32.7 percent reduction in our carbon footprint in from a 2015 base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629920"/>
                <wp:effectExtent l="0" t="0" r="0" b="0"/>
                <wp:wrapNone/>
                <wp:docPr id="151" name="Frame2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21</w:t>
                            </w:r>
                          </w:p>
                        </w:tc>
                      </w:tr>
                    </w:tbl>
                    <w:p>
                      <w:pPr>
                        <w:pStyle w:val="TextBody"/>
                        <w:bidi w:val="0"/>
                        <w:spacing w:before="0" w:after="283"/>
                        <w:jc w:val="left"/>
                        <w:rPr/>
                      </w:pPr>
                      <w:r>
                        <w:rPr/>
                      </w:r>
                    </w:p>
                  </w:txbxContent>
                </v:textbox>
                <w10:wrap type="none"/>
              </v:rect>
            </w:pict>
          </mc:Fallback>
        </mc:AlternateContent>
      </w:r>
    </w:p>
    <w:tbl>
      <w:tblPr>
        <w:tblW w:w="2306" w:type="dxa"/>
        <w:jc w:val="left"/>
        <w:tblInd w:w="0" w:type="dxa"/>
        <w:tblLayout w:type="fixed"/>
        <w:tblCellMar>
          <w:top w:w="28" w:type="dxa"/>
          <w:left w:w="28" w:type="dxa"/>
          <w:bottom w:w="28" w:type="dxa"/>
          <w:right w:w="28" w:type="dxa"/>
        </w:tblCellMar>
      </w:tblPr>
      <w:tblGrid>
        <w:gridCol w:w="635"/>
        <w:gridCol w:w="559"/>
        <w:gridCol w:w="561"/>
        <w:gridCol w:w="161"/>
        <w:gridCol w:w="161"/>
        <w:gridCol w:w="229"/>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Corporate governance</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15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25" descr=""/>
                          <pic:cNvPicPr>
                            <a:picLocks noChangeAspect="1" noChangeArrowheads="1"/>
                          </pic:cNvPicPr>
                        </pic:nvPicPr>
                        <pic:blipFill>
                          <a:blip r:embed="rId126"/>
                          <a:stretch>
                            <a:fillRect/>
                          </a:stretch>
                        </pic:blipFill>
                        <pic:spPr bwMode="auto">
                          <a:xfrm>
                            <a:off x="0" y="0"/>
                            <a:ext cx="228600" cy="180975"/>
                          </a:xfrm>
                          <a:prstGeom prst="rect">
                            <a:avLst/>
                          </a:prstGeom>
                        </pic:spPr>
                      </pic:pic>
                    </a:graphicData>
                  </a:graphic>
                </wp:inline>
              </w:drawing>
            </w:r>
            <w:r>
              <w:rPr>
                <w:color w:val="000000"/>
              </w:rPr>
              <w:t> </w:t>
            </w:r>
          </w:p>
        </w:tc>
      </w:tr>
      <w:tr>
        <w:trPr/>
        <w:tc>
          <w:tcPr>
            <w:tcW w:w="175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For Scope 3 emissions reduction we continue to improve data quality from suppliers, while seeking innovative, low carbon solutions and alternatives. We have deployed a cross-functional scope 3 strategy around 4 pillars: (1) plastics reduction and alternatives, (2) forest fiber mix, (3) transportation efficiencies and alternative technologies, and (4) recovery and recycling of materials after use. We have reduced absolute Scope 3 GHG Emissions by approximately 19.3 percent from a 2015 base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Sustainability Reporting</w:t>
      </w:r>
    </w:p>
    <w:p>
      <w:pPr>
        <w:pStyle w:val="TextBody"/>
        <w:bidi w:val="0"/>
        <w:spacing w:lineRule="auto" w:line="312" w:before="120" w:after="120"/>
        <w:jc w:val="left"/>
        <w:rPr/>
      </w:pPr>
      <w:r>
        <w:rPr>
          <w:rFonts w:ascii="Lato;sans-serif" w:hAnsi="Lato;sans-serif"/>
          <w:b w:val="false"/>
          <w:color w:val="000000"/>
          <w:sz w:val="19"/>
        </w:rPr>
        <w:t xml:space="preserve">Each year, Kimberly-Clark publishes a Global Sustainability Report outlining our key strategies, initiatives, and results in greater detail, along with additional materials organized and presented in accordance with the Global Reporting Initiative (GRI) and Sustainability Accounting Standards Board (SASB) Standards. We also published a Task Force on Climate-related Financial Disclosures (TCFD)-aligned disclosure in 2021 and continue to refresh it in order to enhance visibility to our climate risks and opportunities. These can be found on our website at </w:t>
      </w:r>
      <w:r>
        <w:rPr>
          <w:rFonts w:ascii="Lato;sans-serif" w:hAnsi="Lato;sans-serif"/>
          <w:b/>
          <w:color w:val="000000"/>
          <w:sz w:val="19"/>
        </w:rPr>
        <w:t>www.kimberly-clark.com/esg/downloads</w:t>
      </w:r>
      <w:r>
        <w:rPr>
          <w:rFonts w:ascii="Lato;sans-serif" w:hAnsi="Lato;sans-serif"/>
          <w:b w:val="false"/>
          <w:color w:val="000000"/>
          <w:sz w:val="19"/>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Stakeholder Engagement and Recognition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We routinely engage our stockholders on the topic of sustainability through our governance engagement program and regular investor meetings. In these meetings, we often discuss sustainability topics and priorities relevant to our business.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To continue our focus on topics where we can make the greatest difference, in 2024, we conducted a double materiality* assessment (DMA) to identify our material ESG topics – from both an impact and financial materiality lens. Revised topics from this assessment continue to remind us of our operational impacts, risks and opportunities, including stakeholders’ inputs, as they evolve, informing our plans and processes.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Our sustainability program continues to receive strong recognition from our external stakeholders. Most recent rankings include: </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CDP (formerly Carbon Disclosure Project) 2023 “B” ranking for Climate Change, Water Security and Forests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Rating of “AA” in MSCI Global Sustainability Index</w:t>
      </w:r>
    </w:p>
    <w:p>
      <w:pPr>
        <w:pStyle w:val="TextBody"/>
        <w:bidi w:val="0"/>
        <w:spacing w:lineRule="auto" w:line="312" w:before="80" w:after="80"/>
        <w:ind w:left="0" w:right="0" w:hanging="216"/>
        <w:jc w:val="left"/>
        <w:rPr/>
      </w:pPr>
      <w:r>
        <w:rPr>
          <w:color w:val="0046C8"/>
        </w:rPr>
        <w:t>•</w:t>
      </w:r>
      <w:r>
        <w:rPr>
          <w:color w:val="000000"/>
        </w:rPr>
        <w:t xml:space="preserve"> </w:t>
      </w:r>
      <w:r>
        <w:rPr>
          <w:rFonts w:ascii="Lato;sans-serif" w:hAnsi="Lato;sans-serif"/>
          <w:b w:val="false"/>
          <w:color w:val="000000"/>
          <w:sz w:val="19"/>
        </w:rPr>
        <w:t>U.S. Environmental Protection Agency’s Green Power Partnership National Top 100</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Second among Barron’s 100 Most Sustainable Companies of 2023</w:t>
      </w:r>
    </w:p>
    <w:p>
      <w:pPr>
        <w:pStyle w:val="TextBody"/>
        <w:bidi w:val="0"/>
        <w:spacing w:lineRule="auto" w:line="312" w:before="80" w:after="120"/>
        <w:ind w:left="0" w:right="0" w:hanging="216"/>
        <w:jc w:val="left"/>
        <w:rPr/>
      </w:pPr>
      <w:r>
        <w:rPr>
          <w:color w:val="0046C8"/>
        </w:rPr>
        <w:t>•</w:t>
      </w:r>
      <w:r>
        <w:rPr>
          <w:rFonts w:ascii="Lato;sans-serif" w:hAnsi="Lato;sans-serif"/>
          <w:b w:val="false"/>
          <w:color w:val="000000"/>
          <w:sz w:val="19"/>
        </w:rPr>
        <w:t xml:space="preserve">2024 Carbon Clean200™ list, developed by As You Sow and Corporate Knights </w:t>
      </w:r>
    </w:p>
    <w:p>
      <w:pPr>
        <w:pStyle w:val="TextBody"/>
        <w:bidi w:val="0"/>
        <w:spacing w:lineRule="auto" w:line="312" w:before="0" w:after="0"/>
        <w:ind w:left="0" w:right="0" w:hanging="216"/>
        <w:jc w:val="left"/>
        <w:rPr>
          <w:rFonts w:ascii="Lato;sans-serif" w:hAnsi="Lato;sans-serif"/>
          <w:b w:val="false"/>
          <w:color w:val="000000"/>
          <w:sz w:val="16"/>
        </w:rPr>
      </w:pPr>
      <w:r>
        <w:rPr>
          <w:rFonts w:ascii="Lato;sans-serif" w:hAnsi="Lato;sans-serif"/>
          <w:b w:val="false"/>
          <w:color w:val="000000"/>
          <w:sz w:val="16"/>
        </w:rPr>
        <w:t>*    Note: References to materiality or material topics here and across our sustainability reporting, including our double materiality assessment completed in 2024, are for purposes of our sustainability strategy and voluntary reporting only and are not an indication that such information or matters are material to Kimberly-Clark under federal securities laws or corporate reporting laws, regulations, or directives that may be applicable in specific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629920"/>
                <wp:effectExtent l="0" t="0" r="0" b="0"/>
                <wp:wrapNone/>
                <wp:docPr id="153" name="Frame2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22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22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305" w:type="dxa"/>
        <w:jc w:val="left"/>
        <w:tblInd w:w="0" w:type="dxa"/>
        <w:tblLayout w:type="fixed"/>
        <w:tblCellMar>
          <w:top w:w="28" w:type="dxa"/>
          <w:left w:w="28" w:type="dxa"/>
          <w:bottom w:w="28" w:type="dxa"/>
          <w:right w:w="28" w:type="dxa"/>
        </w:tblCellMar>
      </w:tblPr>
      <w:tblGrid>
        <w:gridCol w:w="188"/>
        <w:gridCol w:w="166"/>
        <w:gridCol w:w="167"/>
        <w:gridCol w:w="521"/>
        <w:gridCol w:w="521"/>
        <w:gridCol w:w="742"/>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15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26" descr=""/>
                          <pic:cNvPicPr>
                            <a:picLocks noChangeAspect="1" noChangeArrowheads="1"/>
                          </pic:cNvPicPr>
                        </pic:nvPicPr>
                        <pic:blipFill>
                          <a:blip r:embed="rId127"/>
                          <a:stretch>
                            <a:fillRect/>
                          </a:stretch>
                        </pic:blipFill>
                        <pic:spPr bwMode="auto">
                          <a:xfrm>
                            <a:off x="0" y="0"/>
                            <a:ext cx="228600" cy="180975"/>
                          </a:xfrm>
                          <a:prstGeom prst="rect">
                            <a:avLst/>
                          </a:prstGeom>
                        </pic:spPr>
                      </pic:pic>
                    </a:graphicData>
                  </a:graphic>
                </wp:inline>
              </w:drawing>
            </w:r>
            <w:r>
              <w:rPr>
                <w:color w:val="000000"/>
              </w:rPr>
              <w:t> </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Corporate governance</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Inclusion &amp; Belonging</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By leading with inclusion, we believe we are building an organization that leverages its culture as a competitive advantage to deliver on our purpose of Better Care for a Better World. We aim to foster an inclusive workforce that encompasses the wide variety of experiences and perspectives reflected in the consumers we serve. As a company who serves global consumers and communities, we believe that employing people with a wide range of perspectives and experiences amplifies our ability to gather insights, foster innovation, and understand the culture, context, and mindset of consumers around the world. </w:t>
      </w:r>
    </w:p>
    <w:p>
      <w:pPr>
        <w:pStyle w:val="TextBody"/>
        <w:bidi w:val="0"/>
        <w:spacing w:lineRule="auto" w:line="288" w:before="340" w:after="120"/>
        <w:jc w:val="left"/>
        <w:rPr/>
      </w:pPr>
      <w:r>
        <w:rPr>
          <w:rFonts w:ascii="Lato;sans-serif" w:hAnsi="Lato;sans-serif"/>
          <w:b w:val="false"/>
          <w:color w:val="0046C8"/>
          <w:sz w:val="34"/>
        </w:rPr>
        <w:t>Our Board of Directors</w:t>
      </w:r>
      <w:r>
        <w:rPr>
          <w:color w:val="000000"/>
        </w:rPr>
        <w:t xml:space="preserve">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We believe that having a Board that is inclusive and reflects a wide range of experiences and perspectives is an important element of our leadership and gives us a competitive advantage.</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Our Strategy and Activations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2024, we announced a new global strategy that focuses on fostering a culture of inclusion and belonging and establishing ourselves as a community advocate that is a top tier employer/industry leader.</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To help advance our strategy, we are continuing to activate globally by: among other things, building inclusive leadership capability, assessing mill/frontline culture and engagement, implementing global mentoring programs, facilitating Global Inclusion Week, and supporting employee resource groups.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We believe that our business success is tied to cultivating workplaces, communities, and experiences where inclusion and belonging are evident and thriving. Building on our momentum from 2023, we held our Global Inclusion Week in 2024, engaging more than 4,000 employees in over 58 countries to activate a culture of inclusion. We also continued the THRIVE global mentoring program for emerging and existing leaders. We believe in investing in development to build and retain our talent as a critical growth lever.</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At Kimberly-Clark, we care deeply for our employees. Inclusion and belonging are integral to upholding our Core Values (We Care) and Ways of Working (Grow Our People) and are key enablers that stimulate top-tier growth across every part of our business. Kimberly-Clark wins because we have an inclusive workforce that encompasses the wide variety of diverse experiences and perspectives reflected in the consumers we serve and importantly, the 6 billion people who have yet to use our products.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By embedding inclusion into our ways of working, we strive to co-create and innovate in new ways while seeking to ensure that everyone is treated with dignity, recognized for their abilities, and valued for who they are. </w:t>
      </w:r>
    </w:p>
    <w:p>
      <w:pPr>
        <w:pStyle w:val="TextBody"/>
        <w:bidi w:val="0"/>
        <w:spacing w:lineRule="auto" w:line="312" w:before="120" w:after="120"/>
        <w:jc w:val="left"/>
        <w:rPr/>
      </w:pPr>
      <w:r>
        <w:rPr>
          <w:rFonts w:ascii="Lato;sans-serif" w:hAnsi="Lato;sans-serif"/>
          <w:b w:val="false"/>
          <w:color w:val="000000"/>
          <w:sz w:val="19"/>
        </w:rPr>
        <w:t xml:space="preserve">We aim to provide transparent updates on our workforce, including by disclosing our annual EEO-1 data after our submission of the corresponding report to the U.S. Equal Employment Opportunity Commission. Our most recent EEO-1 data is available at </w:t>
      </w:r>
      <w:r>
        <w:rPr>
          <w:rFonts w:ascii="Lato;sans-serif" w:hAnsi="Lato;sans-serif"/>
          <w:b/>
          <w:color w:val="000000"/>
          <w:sz w:val="19"/>
        </w:rPr>
        <w:t>https://www.kimberly-clark.com/en-us/esg/downloads</w:t>
      </w:r>
      <w:r>
        <w:rPr>
          <w:rFonts w:ascii="Lato;sans-serif" w:hAnsi="Lato;sans-serif"/>
          <w:b w:val="false"/>
          <w:color w:val="000000"/>
          <w:sz w:val="19"/>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Other Corporate Governance Policies and Practices</w:t>
      </w:r>
    </w:p>
    <w:p>
      <w:pPr>
        <w:pStyle w:val="TextBody"/>
        <w:bidi w:val="0"/>
        <w:spacing w:lineRule="auto" w:line="312" w:before="120" w:after="120"/>
        <w:jc w:val="left"/>
        <w:rPr/>
      </w:pPr>
      <w:r>
        <w:rPr>
          <w:rFonts w:ascii="Lato;sans-serif" w:hAnsi="Lato;sans-serif"/>
          <w:b w:val="false"/>
          <w:i/>
          <w:color w:val="000000"/>
          <w:sz w:val="19"/>
        </w:rPr>
        <w:t xml:space="preserve">Corporate Governance Policies. </w:t>
      </w:r>
      <w:r>
        <w:rPr>
          <w:rFonts w:ascii="Lato;sans-serif" w:hAnsi="Lato;sans-serif"/>
          <w:b w:val="false"/>
          <w:color w:val="000000"/>
          <w:sz w:val="19"/>
        </w:rPr>
        <w:t xml:space="preserve">The Board of Directors has adopted Corporate Governance Policies which guide Kimberly-Clark and the Board on matters of corporate governance, including: director responsibilities, Board committees and their charters, director independence, director compensation, performance assessments of the Board and individual directors, Board succession planning, confidentiality and conflicts of interest, director commitments, director orientation and education, director access to management, Board access to outside financial, business and legal advisors, management development and succession planning, and Board interaction with stockholders. Our Corporate Governance Policies provide for retirement at age 72. The Board monitors emerging issues and amends these policies from time to time as rules and regulations change and governance practices develop. To see the policies, go to the Investors section of our website at </w:t>
      </w:r>
      <w:r>
        <w:rPr>
          <w:rFonts w:ascii="Lato;sans-serif" w:hAnsi="Lato;sans-serif"/>
          <w:b/>
          <w:color w:val="000000"/>
          <w:sz w:val="19"/>
        </w:rPr>
        <w:t>www.kimberly-clark.com</w:t>
      </w:r>
      <w:r>
        <w:rPr>
          <w:rFonts w:ascii="Lato;sans-serif" w:hAnsi="Lato;sans-serif"/>
          <w:b w:val="false"/>
          <w:color w:val="000000"/>
          <w:sz w:val="19"/>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629920"/>
                <wp:effectExtent l="0" t="0" r="0" b="0"/>
                <wp:wrapNone/>
                <wp:docPr id="155" name="Frame2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23</w:t>
                            </w:r>
                          </w:p>
                        </w:tc>
                      </w:tr>
                    </w:tbl>
                    <w:p>
                      <w:pPr>
                        <w:pStyle w:val="TextBody"/>
                        <w:bidi w:val="0"/>
                        <w:spacing w:before="0" w:after="283"/>
                        <w:jc w:val="left"/>
                        <w:rPr/>
                      </w:pPr>
                      <w:r>
                        <w:rPr/>
                      </w:r>
                    </w:p>
                  </w:txbxContent>
                </v:textbox>
                <w10:wrap type="none"/>
              </v:rect>
            </w:pict>
          </mc:Fallback>
        </mc:AlternateContent>
      </w:r>
    </w:p>
    <w:tbl>
      <w:tblPr>
        <w:tblW w:w="2306" w:type="dxa"/>
        <w:jc w:val="left"/>
        <w:tblInd w:w="0" w:type="dxa"/>
        <w:tblLayout w:type="fixed"/>
        <w:tblCellMar>
          <w:top w:w="28" w:type="dxa"/>
          <w:left w:w="28" w:type="dxa"/>
          <w:bottom w:w="28" w:type="dxa"/>
          <w:right w:w="28" w:type="dxa"/>
        </w:tblCellMar>
      </w:tblPr>
      <w:tblGrid>
        <w:gridCol w:w="635"/>
        <w:gridCol w:w="559"/>
        <w:gridCol w:w="561"/>
        <w:gridCol w:w="161"/>
        <w:gridCol w:w="161"/>
        <w:gridCol w:w="229"/>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Corporate governance</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15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27" descr=""/>
                          <pic:cNvPicPr>
                            <a:picLocks noChangeAspect="1" noChangeArrowheads="1"/>
                          </pic:cNvPicPr>
                        </pic:nvPicPr>
                        <pic:blipFill>
                          <a:blip r:embed="rId128"/>
                          <a:stretch>
                            <a:fillRect/>
                          </a:stretch>
                        </pic:blipFill>
                        <pic:spPr bwMode="auto">
                          <a:xfrm>
                            <a:off x="0" y="0"/>
                            <a:ext cx="228600" cy="180975"/>
                          </a:xfrm>
                          <a:prstGeom prst="rect">
                            <a:avLst/>
                          </a:prstGeom>
                        </pic:spPr>
                      </pic:pic>
                    </a:graphicData>
                  </a:graphic>
                </wp:inline>
              </w:drawing>
            </w:r>
            <w:r>
              <w:rPr>
                <w:color w:val="000000"/>
              </w:rPr>
              <w:t> </w:t>
            </w:r>
          </w:p>
        </w:tc>
      </w:tr>
      <w:tr>
        <w:trPr/>
        <w:tc>
          <w:tcPr>
            <w:tcW w:w="175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Lato;sans-serif" w:hAnsi="Lato;sans-serif"/>
          <w:b w:val="false"/>
          <w:i/>
          <w:color w:val="000000"/>
          <w:sz w:val="19"/>
        </w:rPr>
        <w:t>Board and Committee Evaluations.</w:t>
      </w:r>
      <w:r>
        <w:rPr>
          <w:color w:val="000000"/>
        </w:rPr>
        <w:t xml:space="preserve"> </w:t>
      </w:r>
      <w:r>
        <w:rPr>
          <w:rFonts w:ascii="Lato;sans-serif" w:hAnsi="Lato;sans-serif"/>
          <w:b w:val="false"/>
          <w:color w:val="000000"/>
          <w:sz w:val="19"/>
        </w:rPr>
        <w:t xml:space="preserve">The Board conducts annual self-evaluations to determine whether it and its committees are functioning effectively and whether its governing documents continue to remain appropriate. Each Board member is periodically evaluated on an individual basis. The process is designed and overseen by our Lead Director and our Nominating and Corporate Governance Committee, and the results of the evaluations are discussed by the full Board.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Each committee annually reviews its own performance and assesses the adequacy of its charter, and reports the results and any recommendations to the Board.</w:t>
      </w:r>
    </w:p>
    <w:p>
      <w:pPr>
        <w:pStyle w:val="TextBody"/>
        <w:bidi w:val="0"/>
        <w:spacing w:lineRule="auto" w:line="312" w:before="120" w:after="120"/>
        <w:jc w:val="left"/>
        <w:rPr/>
      </w:pPr>
      <w:r>
        <w:rPr>
          <w:rFonts w:ascii="Lato;sans-serif" w:hAnsi="Lato;sans-serif"/>
          <w:b w:val="false"/>
          <w:i/>
          <w:color w:val="000000"/>
          <w:sz w:val="19"/>
        </w:rPr>
        <w:t>Board Succession Planning.</w:t>
      </w:r>
      <w:r>
        <w:rPr>
          <w:color w:val="000000"/>
        </w:rPr>
        <w:t xml:space="preserve"> </w:t>
      </w:r>
      <w:r>
        <w:rPr>
          <w:rFonts w:ascii="Lato;sans-serif" w:hAnsi="Lato;sans-serif"/>
          <w:b w:val="false"/>
          <w:color w:val="000000"/>
          <w:sz w:val="19"/>
        </w:rPr>
        <w:t>Our Nominating and Corporate Governance Committee maintains and reviews a succession plan for the Board, as described in “Proposal 1. Election of Directors - Process and Criteria for Nominating Directors.”</w:t>
      </w:r>
    </w:p>
    <w:p>
      <w:pPr>
        <w:pStyle w:val="TextBody"/>
        <w:bidi w:val="0"/>
        <w:spacing w:lineRule="auto" w:line="312" w:before="120" w:after="120"/>
        <w:jc w:val="left"/>
        <w:rPr/>
      </w:pPr>
      <w:r>
        <w:rPr>
          <w:rFonts w:ascii="Lato;sans-serif" w:hAnsi="Lato;sans-serif"/>
          <w:b w:val="false"/>
          <w:i/>
          <w:color w:val="000000"/>
          <w:sz w:val="19"/>
        </w:rPr>
        <w:t>Service on Other Public Boards.</w:t>
      </w:r>
      <w:r>
        <w:rPr>
          <w:color w:val="000000"/>
        </w:rPr>
        <w:t xml:space="preserve"> </w:t>
      </w:r>
      <w:r>
        <w:rPr>
          <w:rFonts w:ascii="Lato;sans-serif" w:hAnsi="Lato;sans-serif"/>
          <w:b w:val="false"/>
          <w:color w:val="000000"/>
          <w:sz w:val="19"/>
        </w:rPr>
        <w:t xml:space="preserve">Under our Corporate Governance Policies, directors should not serve on more than four public company boards (including the Kimberly-Clark Board). The Board has reviewed the number of outside directorships held by directors and determined that all directors are in compliance. In addition, when nominating a director for service on the Board or for re-election, the Board considers whether, in light of other commitments (including public company board leadership positions), the nominee will have adequate time to serve as a director of Kimberly-Clark. </w:t>
      </w:r>
    </w:p>
    <w:p>
      <w:pPr>
        <w:pStyle w:val="TextBody"/>
        <w:bidi w:val="0"/>
        <w:spacing w:lineRule="auto" w:line="312" w:before="120" w:after="120"/>
        <w:jc w:val="left"/>
        <w:rPr/>
      </w:pPr>
      <w:r>
        <w:rPr>
          <w:rFonts w:ascii="Lato;sans-serif" w:hAnsi="Lato;sans-serif"/>
          <w:b w:val="false"/>
          <w:i/>
          <w:color w:val="000000"/>
          <w:sz w:val="19"/>
        </w:rPr>
        <w:t>Code of Conduct.</w:t>
      </w:r>
      <w:r>
        <w:rPr>
          <w:color w:val="000000"/>
        </w:rPr>
        <w:t xml:space="preserve"> </w:t>
      </w:r>
      <w:r>
        <w:rPr>
          <w:rFonts w:ascii="Lato;sans-serif" w:hAnsi="Lato;sans-serif"/>
          <w:b w:val="false"/>
          <w:color w:val="000000"/>
          <w:sz w:val="19"/>
        </w:rPr>
        <w:t xml:space="preserve">Kimberly-Clark has a Code of Conduct that applies to all of our directors, executive officers, and employees, including our CEO, Chief Financial Officer, and Vice President and Controller. It is available in the Investors section of our website at </w:t>
      </w:r>
      <w:r>
        <w:rPr>
          <w:rFonts w:ascii="Lato;sans-serif" w:hAnsi="Lato;sans-serif"/>
          <w:b/>
          <w:color w:val="000000"/>
          <w:sz w:val="19"/>
        </w:rPr>
        <w:t>www.kimberly-clark.com</w:t>
      </w:r>
      <w:r>
        <w:rPr>
          <w:rFonts w:ascii="Lato;sans-serif" w:hAnsi="Lato;sans-serif"/>
          <w:b w:val="false"/>
          <w:color w:val="000000"/>
          <w:sz w:val="19"/>
        </w:rPr>
        <w:t>. Any amendments to or waivers of our Code of Conduct applicable to our CEO, Chief Financial Officer, or Vice President and Controller will also be posted at that location. It is our policy that any waiver of our Code of Conduct for executive officers or directors may be made only by our Board or a committee of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629920"/>
                <wp:effectExtent l="0" t="0" r="0" b="0"/>
                <wp:wrapNone/>
                <wp:docPr id="157" name="Frame3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24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24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305" w:type="dxa"/>
        <w:jc w:val="left"/>
        <w:tblInd w:w="0" w:type="dxa"/>
        <w:tblLayout w:type="fixed"/>
        <w:tblCellMar>
          <w:top w:w="28" w:type="dxa"/>
          <w:left w:w="28" w:type="dxa"/>
          <w:bottom w:w="28" w:type="dxa"/>
          <w:right w:w="28" w:type="dxa"/>
        </w:tblCellMar>
      </w:tblPr>
      <w:tblGrid>
        <w:gridCol w:w="188"/>
        <w:gridCol w:w="166"/>
        <w:gridCol w:w="167"/>
        <w:gridCol w:w="521"/>
        <w:gridCol w:w="521"/>
        <w:gridCol w:w="742"/>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15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28" descr=""/>
                          <pic:cNvPicPr>
                            <a:picLocks noChangeAspect="1" noChangeArrowheads="1"/>
                          </pic:cNvPicPr>
                        </pic:nvPicPr>
                        <pic:blipFill>
                          <a:blip r:embed="rId129"/>
                          <a:stretch>
                            <a:fillRect/>
                          </a:stretch>
                        </pic:blipFill>
                        <pic:spPr bwMode="auto">
                          <a:xfrm>
                            <a:off x="0" y="0"/>
                            <a:ext cx="228600" cy="180975"/>
                          </a:xfrm>
                          <a:prstGeom prst="rect">
                            <a:avLst/>
                          </a:prstGeom>
                        </pic:spPr>
                      </pic:pic>
                    </a:graphicData>
                  </a:graphic>
                </wp:inline>
              </w:drawing>
            </w:r>
            <w:r>
              <w:rPr>
                <w:color w:val="000000"/>
              </w:rPr>
              <w:t> </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Corporate governance</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Lato;sans-serif" w:hAnsi="Lato;sans-serif"/>
          <w:b w:val="false"/>
          <w:color w:val="000000"/>
          <w:sz w:val="38"/>
        </w:rPr>
      </w:pPr>
      <w:r>
        <w:rPr>
          <w:rFonts w:ascii="Lato;sans-serif" w:hAnsi="Lato;sans-serif"/>
          <w:b w:val="false"/>
          <w:color w:val="000000"/>
          <w:sz w:val="38"/>
        </w:rPr>
        <w:t>Board and Management Roles in Risk Oversight</w:t>
      </w:r>
    </w:p>
    <w:tbl>
      <w:tblPr>
        <w:tblW w:w="10205" w:type="dxa"/>
        <w:jc w:val="left"/>
        <w:tblInd w:w="0" w:type="dxa"/>
        <w:tblLayout w:type="fixed"/>
        <w:tblCellMar>
          <w:top w:w="28" w:type="dxa"/>
          <w:left w:w="28" w:type="dxa"/>
          <w:bottom w:w="28" w:type="dxa"/>
          <w:right w:w="28" w:type="dxa"/>
        </w:tblCellMar>
      </w:tblPr>
      <w:tblGrid>
        <w:gridCol w:w="1665"/>
        <w:gridCol w:w="549"/>
        <w:gridCol w:w="549"/>
        <w:gridCol w:w="207"/>
        <w:gridCol w:w="207"/>
        <w:gridCol w:w="207"/>
        <w:gridCol w:w="2365"/>
        <w:gridCol w:w="680"/>
        <w:gridCol w:w="517"/>
        <w:gridCol w:w="207"/>
        <w:gridCol w:w="207"/>
        <w:gridCol w:w="207"/>
        <w:gridCol w:w="1646"/>
        <w:gridCol w:w="406"/>
        <w:gridCol w:w="586"/>
      </w:tblGrid>
      <w:tr>
        <w:trPr/>
        <w:tc>
          <w:tcPr>
            <w:tcW w:w="166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12" w:before="80" w:after="80"/>
              <w:jc w:val="left"/>
              <w:rPr>
                <w:rFonts w:ascii="Lato Bold;sans-serif" w:hAnsi="Lato Bold;sans-serif"/>
                <w:b/>
                <w:color w:val="000000"/>
                <w:sz w:val="19"/>
              </w:rPr>
            </w:pPr>
            <w:r>
              <w:rPr>
                <w:rFonts w:ascii="Lato Bold;sans-serif" w:hAnsi="Lato Bold;sans-serif"/>
                <w:b/>
                <w:color w:val="000000"/>
                <w:sz w:val="19"/>
              </w:rPr>
              <w:t>BOARD</w:t>
            </w:r>
          </w:p>
          <w:p>
            <w:pPr>
              <w:pStyle w:val="TableContents"/>
              <w:bidi w:val="0"/>
              <w:spacing w:lineRule="auto" w:line="312" w:before="80" w:after="80"/>
              <w:jc w:val="left"/>
              <w:rPr>
                <w:rFonts w:ascii="Lato;sans-serif" w:hAnsi="Lato;sans-serif"/>
                <w:b w:val="false"/>
                <w:color w:val="000000"/>
                <w:sz w:val="19"/>
              </w:rPr>
            </w:pPr>
            <w:r>
              <w:rPr>
                <w:rFonts w:ascii="Lato;sans-serif" w:hAnsi="Lato;sans-serif"/>
                <w:b w:val="false"/>
                <w:color w:val="000000"/>
                <w:sz w:val="19"/>
              </w:rPr>
              <w:t>The Board is responsible for providing risk oversight with respect to our operations. In connection with this oversight, the Board particularly focuses on our strategic and operational risks, as well as related risk mitigation. In addition, the Board reviews and oversees management’s response to key risks facing Kimberly-Clark.</w:t>
            </w:r>
          </w:p>
          <w:p>
            <w:pPr>
              <w:pStyle w:val="TableContents"/>
              <w:bidi w:val="0"/>
              <w:spacing w:lineRule="auto" w:line="312" w:before="80" w:after="80"/>
              <w:jc w:val="left"/>
              <w:rPr>
                <w:rFonts w:ascii="Lato;sans-serif" w:hAnsi="Lato;sans-serif"/>
                <w:b w:val="false"/>
                <w:color w:val="000000"/>
                <w:sz w:val="19"/>
              </w:rPr>
            </w:pPr>
            <w:r>
              <w:rPr>
                <w:rFonts w:ascii="Lato;sans-serif" w:hAnsi="Lato;sans-serif"/>
                <w:b w:val="false"/>
                <w:color w:val="000000"/>
                <w:sz w:val="19"/>
              </w:rPr>
              <w:t>The Board believes the allocation of risk management responsibilities described below supplements the Board’s leadership structure by allocating risk areas to an appropriate committee for oversight, allows for an orderly escalation of issues as necessary, and helps the Board satisfy its risk oversight responsibilities.</w:t>
            </w:r>
          </w:p>
          <w:p>
            <w:pPr>
              <w:pStyle w:val="TableContents"/>
              <w:bidi w:val="0"/>
              <w:spacing w:lineRule="auto" w:line="312" w:before="80" w:after="80"/>
              <w:jc w:val="left"/>
              <w:rPr>
                <w:rFonts w:ascii="Lato;sans-serif" w:hAnsi="Lato;sans-serif"/>
                <w:b w:val="false"/>
                <w:color w:val="000000"/>
                <w:sz w:val="19"/>
              </w:rPr>
            </w:pPr>
            <w:r>
              <w:rPr>
                <w:rFonts w:ascii="Lato;sans-serif" w:hAnsi="Lato;sans-serif"/>
                <w:b w:val="false"/>
                <w:color w:val="000000"/>
                <w:sz w:val="19"/>
              </w:rPr>
              <w:t>The Board’s committees review particular risk areas to assist the Board in its overall risk oversight of Kimberly-Clark:</w:t>
            </w:r>
          </w:p>
        </w:tc>
      </w:tr>
      <w:tr>
        <w:trPr/>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op w:val="single" w:sz="4" w:space="0" w:color="BCBEC0"/>
            </w:tcBorders>
            <w:tcMar>
              <w:left w:w="0" w:type="dxa"/>
              <w:bottom w:w="0" w:type="dxa"/>
              <w:right w:w="0" w:type="dxa"/>
            </w:tcMar>
            <w:vAlign w:val="center"/>
          </w:tcPr>
          <w:p>
            <w:pPr>
              <w:pStyle w:val="TableContents"/>
              <w:bidi w:val="0"/>
              <w:spacing w:before="120" w:after="120"/>
              <w:jc w:val="center"/>
              <w:rPr/>
            </w:pPr>
            <w:r>
              <w:rPr/>
              <w:drawing>
                <wp:inline distT="0" distB="0" distL="0" distR="0">
                  <wp:extent cx="123825" cy="152400"/>
                  <wp:effectExtent l="0" t="0" r="0" b="0"/>
                  <wp:docPr id="15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29" descr=""/>
                          <pic:cNvPicPr>
                            <a:picLocks noChangeAspect="1" noChangeArrowheads="1"/>
                          </pic:cNvPicPr>
                        </pic:nvPicPr>
                        <pic:blipFill>
                          <a:blip r:embed="rId130"/>
                          <a:stretch>
                            <a:fillRect/>
                          </a:stretch>
                        </pic:blipFill>
                        <pic:spPr bwMode="auto">
                          <a:xfrm>
                            <a:off x="0" y="0"/>
                            <a:ext cx="123825" cy="152400"/>
                          </a:xfrm>
                          <a:prstGeom prst="rect">
                            <a:avLst/>
                          </a:prstGeom>
                        </pic:spPr>
                      </pic:pic>
                    </a:graphicData>
                  </a:graphic>
                </wp:inline>
              </w:drawing>
            </w:r>
          </w:p>
        </w:tc>
        <w:tc>
          <w:tcPr>
            <w:tcW w:w="62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top w:val="single" w:sz="4" w:space="0" w:color="BCBEC0"/>
            </w:tcBorders>
            <w:tcMar>
              <w:left w:w="0" w:type="dxa"/>
              <w:bottom w:w="0" w:type="dxa"/>
              <w:right w:w="0" w:type="dxa"/>
            </w:tcMar>
            <w:vAlign w:val="center"/>
          </w:tcPr>
          <w:p>
            <w:pPr>
              <w:pStyle w:val="TableContents"/>
              <w:bidi w:val="0"/>
              <w:spacing w:before="120" w:after="120"/>
              <w:jc w:val="center"/>
              <w:rPr/>
            </w:pPr>
            <w:r>
              <w:rPr/>
              <w:drawing>
                <wp:inline distT="0" distB="0" distL="0" distR="0">
                  <wp:extent cx="123825" cy="152400"/>
                  <wp:effectExtent l="0" t="0" r="0" b="0"/>
                  <wp:docPr id="16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30" descr=""/>
                          <pic:cNvPicPr>
                            <a:picLocks noChangeAspect="1" noChangeArrowheads="1"/>
                          </pic:cNvPicPr>
                        </pic:nvPicPr>
                        <pic:blipFill>
                          <a:blip r:embed="rId131"/>
                          <a:stretch>
                            <a:fillRect/>
                          </a:stretch>
                        </pic:blipFill>
                        <pic:spPr bwMode="auto">
                          <a:xfrm>
                            <a:off x="0" y="0"/>
                            <a:ext cx="123825" cy="152400"/>
                          </a:xfrm>
                          <a:prstGeom prst="rect">
                            <a:avLst/>
                          </a:prstGeom>
                        </pic:spPr>
                      </pic:pic>
                    </a:graphicData>
                  </a:graphic>
                </wp:inline>
              </w:drawing>
            </w:r>
          </w:p>
        </w:tc>
        <w:tc>
          <w:tcPr>
            <w:tcW w:w="62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4" w:space="0" w:color="BCBEC0"/>
            </w:tcBorders>
            <w:tcMar>
              <w:left w:w="0" w:type="dxa"/>
              <w:bottom w:w="0" w:type="dxa"/>
              <w:right w:w="0" w:type="dxa"/>
            </w:tcMar>
            <w:vAlign w:val="center"/>
          </w:tcPr>
          <w:p>
            <w:pPr>
              <w:pStyle w:val="TableContents"/>
              <w:bidi w:val="0"/>
              <w:spacing w:before="120" w:after="120"/>
              <w:jc w:val="center"/>
              <w:rPr/>
            </w:pPr>
            <w:r>
              <w:rPr/>
              <w:drawing>
                <wp:inline distT="0" distB="0" distL="0" distR="0">
                  <wp:extent cx="123825" cy="152400"/>
                  <wp:effectExtent l="0" t="0" r="0" b="0"/>
                  <wp:docPr id="16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31" descr=""/>
                          <pic:cNvPicPr>
                            <a:picLocks noChangeAspect="1" noChangeArrowheads="1"/>
                          </pic:cNvPicPr>
                        </pic:nvPicPr>
                        <pic:blipFill>
                          <a:blip r:embed="rId132"/>
                          <a:stretch>
                            <a:fillRect/>
                          </a:stretch>
                        </pic:blipFill>
                        <pic:spPr bwMode="auto">
                          <a:xfrm>
                            <a:off x="0" y="0"/>
                            <a:ext cx="123825" cy="152400"/>
                          </a:xfrm>
                          <a:prstGeom prst="rect">
                            <a:avLst/>
                          </a:prstGeom>
                        </pic:spPr>
                      </pic:pic>
                    </a:graphicData>
                  </a:graphic>
                </wp:inline>
              </w:drawing>
            </w:r>
          </w:p>
        </w:tc>
      </w:tr>
      <w:tr>
        <w:trPr/>
        <w:tc>
          <w:tcPr>
            <w:tcW w:w="2763" w:type="dxa"/>
            <w:gridSpan w:val="3"/>
            <w:tcBorders>
              <w:top w:val="single" w:sz="16" w:space="0" w:color="0046C8"/>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top w:val="single" w:sz="16" w:space="0" w:color="0046C8"/>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16" w:space="0" w:color="0046C8"/>
            </w:tcBorders>
            <w:shd w:fill="CCDA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shd w:fill="CCDAF4" w:val="clear"/>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000000"/>
                <w:sz w:val="19"/>
              </w:rPr>
            </w:pPr>
            <w:r>
              <w:rPr>
                <w:rFonts w:ascii="Lato Bold;sans-serif" w:hAnsi="Lato Bold;sans-serif"/>
                <w:b/>
                <w:color w:val="000000"/>
                <w:sz w:val="19"/>
              </w:rPr>
              <w:t>AUDIT COMMITTEE</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oversees our risk management program, with a particular focus on our internal controls, compliance programs, financial statement integrity and fraud risks, data privacy, cybersecurity, business continuity, IT operational resilience and regulatory matters, and related risk mitigation.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receives regular reports from management on risk assessments, the risk management process, and issues related to the risks of managing our business.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receives an annual enterprise risk management update, which describes our key financial, strategic, operational, and compliance risks.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shd w:fill="CCDAF4" w:val="clear"/>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000000"/>
                <w:sz w:val="19"/>
              </w:rPr>
            </w:pPr>
            <w:r>
              <w:rPr>
                <w:rFonts w:ascii="Lato Bold;sans-serif" w:hAnsi="Lato Bold;sans-serif"/>
                <w:b/>
                <w:color w:val="000000"/>
                <w:sz w:val="19"/>
              </w:rPr>
              <w:t>MANAGEMENT DEVELOPMENT AND COMPENSATION COMMITTEE</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reviews the risk profile of our compensation policies and practices. This process includes a review of an assessment of our compensation programs, as described in “Compensation Discussion and Analysis — Analysis of Compensation- Related Risks.”</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CCDAF4" w:val="clear"/>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000000"/>
                <w:sz w:val="19"/>
              </w:rPr>
            </w:pPr>
            <w:r>
              <w:rPr>
                <w:rFonts w:ascii="Lato Bold;sans-serif" w:hAnsi="Lato Bold;sans-serif"/>
                <w:b/>
                <w:color w:val="000000"/>
                <w:sz w:val="19"/>
              </w:rPr>
              <w:t>NOMINATING AND CORPORATE GOVERNANCE COMMITTEE</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monitors risks relating to governance matters and recommends appropriate actions in response to those risks.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along with its Sustainability Subcommittee, provides oversight of our corporate social responsibility programs and sustainability activities and receives regular updates on the effectiveness of these programs.</w:t>
            </w:r>
          </w:p>
        </w:tc>
      </w:tr>
      <w:tr>
        <w:trPr/>
        <w:tc>
          <w:tcPr>
            <w:tcW w:w="2763" w:type="dxa"/>
            <w:gridSpan w:val="3"/>
            <w:tcBorders/>
            <w:shd w:fill="CCDA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shd w:fill="CCDA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shd w:fill="CCDA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color w:val="FF0090"/>
              </w:rPr>
              <w:t> </w:t>
            </w:r>
            <w:r>
              <w:rPr/>
              <w:drawing>
                <wp:inline distT="0" distB="0" distL="0" distR="0">
                  <wp:extent cx="123825" cy="152400"/>
                  <wp:effectExtent l="0" t="0" r="0" b="0"/>
                  <wp:docPr id="16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32" descr=""/>
                          <pic:cNvPicPr>
                            <a:picLocks noChangeAspect="1" noChangeArrowheads="1"/>
                          </pic:cNvPicPr>
                        </pic:nvPicPr>
                        <pic:blipFill>
                          <a:blip r:embed="rId133"/>
                          <a:stretch>
                            <a:fillRect/>
                          </a:stretch>
                        </pic:blipFill>
                        <pic:spPr bwMode="auto">
                          <a:xfrm>
                            <a:off x="0" y="0"/>
                            <a:ext cx="123825" cy="152400"/>
                          </a:xfrm>
                          <a:prstGeom prst="rect">
                            <a:avLst/>
                          </a:prstGeom>
                        </pic:spPr>
                      </pic:pic>
                    </a:graphicData>
                  </a:graphic>
                </wp:inline>
              </w:drawing>
            </w:r>
            <w:r>
              <w:rPr>
                <w:color w:val="FF0090"/>
              </w:rPr>
              <w:t> </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color w:val="FF0090"/>
              </w:rPr>
              <w:t> </w:t>
            </w:r>
            <w:r>
              <w:rPr/>
              <w:drawing>
                <wp:inline distT="0" distB="0" distL="0" distR="0">
                  <wp:extent cx="123825" cy="152400"/>
                  <wp:effectExtent l="0" t="0" r="0" b="0"/>
                  <wp:docPr id="16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33" descr=""/>
                          <pic:cNvPicPr>
                            <a:picLocks noChangeAspect="1" noChangeArrowheads="1"/>
                          </pic:cNvPicPr>
                        </pic:nvPicPr>
                        <pic:blipFill>
                          <a:blip r:embed="rId134"/>
                          <a:stretch>
                            <a:fillRect/>
                          </a:stretch>
                        </pic:blipFill>
                        <pic:spPr bwMode="auto">
                          <a:xfrm>
                            <a:off x="0" y="0"/>
                            <a:ext cx="123825" cy="152400"/>
                          </a:xfrm>
                          <a:prstGeom prst="rect">
                            <a:avLst/>
                          </a:prstGeom>
                        </pic:spPr>
                      </pic:pic>
                    </a:graphicData>
                  </a:graphic>
                </wp:inline>
              </w:drawing>
            </w:r>
            <w:r>
              <w:rPr>
                <w:color w:val="FF0090"/>
              </w:rPr>
              <w:t> </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color w:val="FF0090"/>
              </w:rPr>
              <w:t> </w:t>
            </w:r>
            <w:r>
              <w:rPr/>
              <w:drawing>
                <wp:inline distT="0" distB="0" distL="0" distR="0">
                  <wp:extent cx="123825" cy="152400"/>
                  <wp:effectExtent l="0" t="0" r="0" b="0"/>
                  <wp:docPr id="16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34" descr=""/>
                          <pic:cNvPicPr>
                            <a:picLocks noChangeAspect="1" noChangeArrowheads="1"/>
                          </pic:cNvPicPr>
                        </pic:nvPicPr>
                        <pic:blipFill>
                          <a:blip r:embed="rId135"/>
                          <a:stretch>
                            <a:fillRect/>
                          </a:stretch>
                        </pic:blipFill>
                        <pic:spPr bwMode="auto">
                          <a:xfrm>
                            <a:off x="0" y="0"/>
                            <a:ext cx="123825" cy="152400"/>
                          </a:xfrm>
                          <a:prstGeom prst="rect">
                            <a:avLst/>
                          </a:prstGeom>
                        </pic:spPr>
                      </pic:pic>
                    </a:graphicData>
                  </a:graphic>
                </wp:inline>
              </w:drawing>
            </w:r>
            <w:r>
              <w:rPr>
                <w:color w:val="FF0090"/>
              </w:rPr>
              <w:t> </w:t>
            </w:r>
          </w:p>
        </w:tc>
      </w:tr>
      <w:tr>
        <w:trPr/>
        <w:tc>
          <w:tcPr>
            <w:tcW w:w="276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4" w:space="0" w:color="BCBEC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12" w:before="0" w:after="80"/>
              <w:jc w:val="left"/>
              <w:rPr>
                <w:rFonts w:ascii="Lato Bold;sans-serif" w:hAnsi="Lato Bold;sans-serif"/>
                <w:b/>
                <w:color w:val="000000"/>
                <w:sz w:val="19"/>
              </w:rPr>
            </w:pPr>
            <w:r>
              <w:rPr>
                <w:rFonts w:ascii="Lato Bold;sans-serif" w:hAnsi="Lato Bold;sans-serif"/>
                <w:b/>
                <w:color w:val="000000"/>
                <w:sz w:val="19"/>
              </w:rPr>
              <w:t>MANAGEMENT</w:t>
            </w:r>
          </w:p>
          <w:p>
            <w:pPr>
              <w:pStyle w:val="TableContents"/>
              <w:bidi w:val="0"/>
              <w:spacing w:lineRule="auto" w:line="312" w:before="80" w:after="283"/>
              <w:jc w:val="left"/>
              <w:rPr>
                <w:rFonts w:ascii="Lato;sans-serif" w:hAnsi="Lato;sans-serif"/>
                <w:b w:val="false"/>
                <w:color w:val="000000"/>
                <w:sz w:val="19"/>
              </w:rPr>
            </w:pPr>
            <w:r>
              <w:rPr>
                <w:rFonts w:ascii="Lato;sans-serif" w:hAnsi="Lato;sans-serif"/>
                <w:b w:val="false"/>
                <w:color w:val="000000"/>
                <w:sz w:val="19"/>
              </w:rPr>
              <w:t>Complementing the Board’s overall risk oversight, our senior executive team identifies and monitors key enterprise-wide and business unit risks, providing the basis for the Board’s risk review and oversight process.</w:t>
            </w:r>
          </w:p>
        </w:tc>
      </w:tr>
      <w:tr>
        <w:trPr/>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op w:val="single" w:sz="8" w:space="0" w:color="0046C8"/>
              <w:left w:val="single" w:sz="8" w:space="0" w:color="00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8" w:space="0" w:color="0046C8"/>
              <w:right w:val="single" w:sz="8" w:space="0" w:color="0046C8"/>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left w:val="single" w:sz="8" w:space="0" w:color="0046C8"/>
              <w:right w:val="single" w:sz="8" w:space="0" w:color="0046C8"/>
            </w:tcBorders>
            <w:tcMar>
              <w:top w:w="0" w:type="dxa"/>
              <w:bottom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We have a Global Risk Oversight Committee, consisting of management members from core business units and from our finance, treasury, global risk management, legal, internal audit, human resources, supply chain, and digital technology services functions. This committee identifies significant risks for review and updates our policies for risk management in areas such as hedging, foreign currency and country risks, product liability, property and casualty risks, data privacy and cybersecurity risks, geopolitical risks, and supplier and customer risks.</w:t>
            </w:r>
          </w:p>
        </w:tc>
      </w:tr>
      <w:tr>
        <w:trPr/>
        <w:tc>
          <w:tcPr>
            <w:tcW w:w="2763" w:type="dxa"/>
            <w:gridSpan w:val="3"/>
            <w:tcBorders>
              <w:left w:val="single" w:sz="8" w:space="0" w:color="0046C8"/>
              <w:bottom w:val="single" w:sz="8" w:space="0" w:color="0046C8"/>
            </w:tcBorders>
            <w:tcMar>
              <w:top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bottom w:val="single" w:sz="8" w:space="0" w:color="0046C8"/>
              <w:right w:val="single" w:sz="8" w:space="0" w:color="0046C8"/>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629920"/>
                <wp:effectExtent l="0" t="0" r="0" b="0"/>
                <wp:wrapNone/>
                <wp:docPr id="165" name="Frame3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25</w:t>
                            </w:r>
                          </w:p>
                        </w:tc>
                      </w:tr>
                    </w:tbl>
                    <w:p>
                      <w:pPr>
                        <w:pStyle w:val="TextBody"/>
                        <w:bidi w:val="0"/>
                        <w:spacing w:before="0" w:after="283"/>
                        <w:jc w:val="left"/>
                        <w:rPr/>
                      </w:pPr>
                      <w:r>
                        <w:rPr/>
                      </w:r>
                    </w:p>
                  </w:txbxContent>
                </v:textbox>
                <w10:wrap type="none"/>
              </v:rect>
            </w:pict>
          </mc:Fallback>
        </mc:AlternateContent>
      </w:r>
    </w:p>
    <w:tbl>
      <w:tblPr>
        <w:tblW w:w="2306" w:type="dxa"/>
        <w:jc w:val="left"/>
        <w:tblInd w:w="0" w:type="dxa"/>
        <w:tblLayout w:type="fixed"/>
        <w:tblCellMar>
          <w:top w:w="28" w:type="dxa"/>
          <w:left w:w="28" w:type="dxa"/>
          <w:bottom w:w="28" w:type="dxa"/>
          <w:right w:w="28" w:type="dxa"/>
        </w:tblCellMar>
      </w:tblPr>
      <w:tblGrid>
        <w:gridCol w:w="635"/>
        <w:gridCol w:w="559"/>
        <w:gridCol w:w="561"/>
        <w:gridCol w:w="161"/>
        <w:gridCol w:w="161"/>
        <w:gridCol w:w="229"/>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Corporate governance</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166"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35" descr=""/>
                          <pic:cNvPicPr>
                            <a:picLocks noChangeAspect="1" noChangeArrowheads="1"/>
                          </pic:cNvPicPr>
                        </pic:nvPicPr>
                        <pic:blipFill>
                          <a:blip r:embed="rId136"/>
                          <a:stretch>
                            <a:fillRect/>
                          </a:stretch>
                        </pic:blipFill>
                        <pic:spPr bwMode="auto">
                          <a:xfrm>
                            <a:off x="0" y="0"/>
                            <a:ext cx="228600" cy="180975"/>
                          </a:xfrm>
                          <a:prstGeom prst="rect">
                            <a:avLst/>
                          </a:prstGeom>
                        </pic:spPr>
                      </pic:pic>
                    </a:graphicData>
                  </a:graphic>
                </wp:inline>
              </w:drawing>
            </w:r>
            <w:r>
              <w:rPr>
                <w:color w:val="000000"/>
              </w:rPr>
              <w:t> </w:t>
            </w:r>
          </w:p>
        </w:tc>
      </w:tr>
      <w:tr>
        <w:trPr/>
        <w:tc>
          <w:tcPr>
            <w:tcW w:w="175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Lato;sans-serif" w:hAnsi="Lato;sans-serif"/>
          <w:b w:val="false"/>
          <w:i/>
          <w:color w:val="000000"/>
          <w:sz w:val="19"/>
        </w:rPr>
        <w:t>Information Security.</w:t>
      </w:r>
      <w:r>
        <w:rPr>
          <w:color w:val="000000"/>
        </w:rPr>
        <w:t xml:space="preserve"> </w:t>
      </w:r>
      <w:r>
        <w:rPr>
          <w:rFonts w:ascii="Lato;sans-serif" w:hAnsi="Lato;sans-serif"/>
          <w:b w:val="false"/>
          <w:color w:val="000000"/>
          <w:sz w:val="19"/>
        </w:rPr>
        <w:t>Given the importance of information security and privacy, the Audit Committee receives quarterly reports from our Chief Digital and Technology Officer and our Chief Information Security Officer covering our program for managing information security risks, including data privacy and data protection risks. We internally follow the National Institute of Standards and Technology cybersecurity framework (NIST CSF) to assess the maturity of our cybersecurity programs. Our robust information security training program for employees includes: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Information security concepts included in our mandatory onboarding Code of Conduct training for all employees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Monthly phishing drills with global participation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An annual Cyber Security Awareness Month (CSAM) event consisting of educational opportunities and activities for all employees, including internal and external speakers and presentations. Includes training focused on timely, risk-based topics that align to corporate initiatives.</w:t>
      </w:r>
    </w:p>
    <w:p>
      <w:pPr>
        <w:pStyle w:val="TextBody"/>
        <w:bidi w:val="0"/>
        <w:spacing w:lineRule="auto" w:line="312" w:before="80" w:after="120"/>
        <w:ind w:left="0" w:right="0" w:hanging="216"/>
        <w:jc w:val="left"/>
        <w:rPr/>
      </w:pPr>
      <w:r>
        <w:rPr>
          <w:color w:val="0046C8"/>
        </w:rPr>
        <w:t>•</w:t>
      </w:r>
      <w:r>
        <w:rPr>
          <w:rFonts w:ascii="Lato;sans-serif" w:hAnsi="Lato;sans-serif"/>
          <w:b w:val="false"/>
          <w:color w:val="000000"/>
          <w:sz w:val="19"/>
        </w:rPr>
        <w:t>Table-top exercises with senior leaders covering ransomware and third-party threats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We maintain cyber insurance which includes coverage related to financial loss due to interruption of our information systems arising from a cybersecurity incident or damage to a third-party caused by a breach of our cybersecurity systems. However, costs related to a cyberattack may exceed the amount of insurance coverage or be excluded under the terms of our cybersecurity insurance policy. As a global company serving consumers in more than 175 countries and territories, we routinely experience a wide variety of cybersecurity incidents. However, we have not experienced a cybersecurity incident that has materially affected or is reasonably likely to materially affect our business strategy, results of operation, or financial condition.</w:t>
      </w:r>
    </w:p>
    <w:p>
      <w:pPr>
        <w:pStyle w:val="TextBody"/>
        <w:bidi w:val="0"/>
        <w:spacing w:lineRule="auto" w:line="312" w:before="120" w:after="120"/>
        <w:jc w:val="left"/>
        <w:rPr/>
      </w:pPr>
      <w:r>
        <w:rPr>
          <w:rFonts w:ascii="Lato;sans-serif" w:hAnsi="Lato;sans-serif"/>
          <w:b w:val="false"/>
          <w:i/>
          <w:color w:val="000000"/>
          <w:sz w:val="19"/>
        </w:rPr>
        <w:t>Whistleblower Procedures.</w:t>
      </w:r>
      <w:r>
        <w:rPr>
          <w:color w:val="000000"/>
        </w:rPr>
        <w:t xml:space="preserve"> </w:t>
      </w:r>
      <w:r>
        <w:rPr>
          <w:rFonts w:ascii="Lato;sans-serif" w:hAnsi="Lato;sans-serif"/>
          <w:b w:val="false"/>
          <w:color w:val="000000"/>
          <w:sz w:val="19"/>
        </w:rPr>
        <w:t xml:space="preserve">The Audit Committee has established procedures for receiving, recording, and addressing any complaints we receive regarding accounting, internal accounting controls or auditing matters, and for the confidential and anonymous submission, by our employees or others, of any concerns about our accounting or auditing practices. We also maintain a toll-free Code of Conduct telephone helpline and a website, each allowing our employees and others to voice their concerns anonymously. </w:t>
      </w:r>
    </w:p>
    <w:p>
      <w:pPr>
        <w:pStyle w:val="TextBody"/>
        <w:bidi w:val="0"/>
        <w:spacing w:lineRule="auto" w:line="312" w:before="120" w:after="120"/>
        <w:jc w:val="left"/>
        <w:rPr/>
      </w:pPr>
      <w:r>
        <w:rPr>
          <w:rFonts w:ascii="Lato;sans-serif" w:hAnsi="Lato;sans-serif"/>
          <w:b w:val="false"/>
          <w:i/>
          <w:color w:val="000000"/>
          <w:sz w:val="19"/>
        </w:rPr>
        <w:t xml:space="preserve">Chief Compliance Officer. </w:t>
      </w:r>
      <w:r>
        <w:rPr>
          <w:rFonts w:ascii="Lato;sans-serif" w:hAnsi="Lato;sans-serif"/>
          <w:b w:val="false"/>
          <w:color w:val="000000"/>
          <w:sz w:val="19"/>
        </w:rPr>
        <w:t>Our Vice President, Deputy General Counsel and Chief Compliance Officer oversees our compliance programs. His duties include: regularly updating the Audit Committee on the effectiveness of our compliance programs, providing periodic reports to the Board, and working closely with our various compliance functions to promote coordination and sharing of best practices across these functions.</w:t>
      </w:r>
    </w:p>
    <w:p>
      <w:pPr>
        <w:pStyle w:val="TextBody"/>
        <w:bidi w:val="0"/>
        <w:spacing w:lineRule="auto" w:line="312" w:before="120" w:after="120"/>
        <w:jc w:val="left"/>
        <w:rPr/>
      </w:pPr>
      <w:r>
        <w:rPr>
          <w:rFonts w:ascii="Lato;sans-serif" w:hAnsi="Lato;sans-serif"/>
          <w:b w:val="false"/>
          <w:i/>
          <w:color w:val="000000"/>
          <w:sz w:val="19"/>
        </w:rPr>
        <w:t>Management Succession Planning.</w:t>
      </w:r>
      <w:r>
        <w:rPr>
          <w:color w:val="000000"/>
        </w:rPr>
        <w:t xml:space="preserve"> </w:t>
      </w:r>
      <w:r>
        <w:rPr>
          <w:rFonts w:ascii="Lato;sans-serif" w:hAnsi="Lato;sans-serif"/>
          <w:b w:val="false"/>
          <w:color w:val="000000"/>
          <w:sz w:val="19"/>
        </w:rPr>
        <w:t xml:space="preserve">In conjunction with the Board, the Management Development and Compensation Committee is responsible for periodically reviewing the long-term management development plans and succession plans for the CEO and other key officers, as well as the emergency succession plan for the CEO and other key officers if any of these officers unexpectedly becomes unable to perform his or her duties. </w:t>
      </w:r>
    </w:p>
    <w:p>
      <w:pPr>
        <w:pStyle w:val="TextBody"/>
        <w:bidi w:val="0"/>
        <w:spacing w:lineRule="auto" w:line="312" w:before="120" w:after="120"/>
        <w:jc w:val="left"/>
        <w:rPr/>
      </w:pPr>
      <w:r>
        <w:rPr>
          <w:rFonts w:ascii="Lato;sans-serif" w:hAnsi="Lato;sans-serif"/>
          <w:b w:val="false"/>
          <w:i/>
          <w:color w:val="000000"/>
          <w:sz w:val="19"/>
        </w:rPr>
        <w:t>Disclosure Committee.</w:t>
      </w:r>
      <w:r>
        <w:rPr>
          <w:color w:val="000000"/>
        </w:rPr>
        <w:t xml:space="preserve"> </w:t>
      </w:r>
      <w:r>
        <w:rPr>
          <w:rFonts w:ascii="Lato;sans-serif" w:hAnsi="Lato;sans-serif"/>
          <w:b w:val="false"/>
          <w:color w:val="000000"/>
          <w:sz w:val="19"/>
        </w:rPr>
        <w:t>We have established a Disclosure Committee to assist in fulfilling our obligations to maintain disclosure controls and procedures and to coordinate and oversee the process of preparing our periodic securities filings with the SEC. This committee is composed of members of management and is chaired by our Vice President and Controller.</w:t>
      </w:r>
    </w:p>
    <w:p>
      <w:pPr>
        <w:pStyle w:val="TextBody"/>
        <w:bidi w:val="0"/>
        <w:spacing w:lineRule="auto" w:line="312" w:before="120" w:after="120"/>
        <w:jc w:val="left"/>
        <w:rPr/>
      </w:pPr>
      <w:r>
        <w:rPr>
          <w:rFonts w:ascii="Lato;sans-serif" w:hAnsi="Lato;sans-serif"/>
          <w:b w:val="false"/>
          <w:i/>
          <w:color w:val="000000"/>
          <w:sz w:val="19"/>
        </w:rPr>
        <w:t>No Executive Loans.</w:t>
      </w:r>
      <w:r>
        <w:rPr>
          <w:color w:val="000000"/>
        </w:rPr>
        <w:t xml:space="preserve"> </w:t>
      </w:r>
      <w:r>
        <w:rPr>
          <w:rFonts w:ascii="Lato;sans-serif" w:hAnsi="Lato;sans-serif"/>
          <w:b w:val="false"/>
          <w:color w:val="000000"/>
          <w:sz w:val="19"/>
        </w:rPr>
        <w:t>We do not extend loans to our executive officers or directors, and, therefore, do not have any such loans outstanding.</w:t>
      </w:r>
    </w:p>
    <w:p>
      <w:pPr>
        <w:pStyle w:val="TextBody"/>
        <w:bidi w:val="0"/>
        <w:spacing w:lineRule="auto" w:line="312" w:before="120" w:after="120"/>
        <w:jc w:val="left"/>
        <w:rPr/>
      </w:pPr>
      <w:r>
        <w:rPr>
          <w:rFonts w:ascii="Lato;sans-serif" w:hAnsi="Lato;sans-serif"/>
          <w:b w:val="false"/>
          <w:i/>
          <w:color w:val="000000"/>
          <w:sz w:val="19"/>
        </w:rPr>
        <w:t xml:space="preserve">Charitable Contributions. </w:t>
      </w:r>
      <w:r>
        <w:rPr>
          <w:rFonts w:ascii="Lato;sans-serif" w:hAnsi="Lato;sans-serif"/>
          <w:b w:val="false"/>
          <w:color w:val="000000"/>
          <w:sz w:val="19"/>
        </w:rPr>
        <w:t xml:space="preserve">The Nominating and Corporate Governance Committee has adopted guidelines for the review and approval of charitable contributions by Kimberly-Clark (or any foundation under the common control of Kimberly-Clark) to organizations or entities with which a director or an executive officer may be affiliated. We will disclose in the Investors section of our website at </w:t>
      </w:r>
      <w:r>
        <w:rPr>
          <w:rFonts w:ascii="Lato;sans-serif" w:hAnsi="Lato;sans-serif"/>
          <w:b/>
          <w:color w:val="000000"/>
          <w:sz w:val="19"/>
        </w:rPr>
        <w:t>www.kimberly-clark.com</w:t>
      </w:r>
      <w:r>
        <w:rPr>
          <w:color w:val="000000"/>
        </w:rPr>
        <w:t xml:space="preserve"> </w:t>
      </w:r>
      <w:r>
        <w:rPr>
          <w:rFonts w:ascii="Lato;sans-serif" w:hAnsi="Lato;sans-serif"/>
          <w:b w:val="false"/>
          <w:color w:val="000000"/>
          <w:sz w:val="19"/>
        </w:rPr>
        <w:t xml:space="preserve">any contributions made by us to a tax-exempt organization under the following circumstances: </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An Independent Director serves as an executive officer of the tax-exempt organization; and</w:t>
      </w:r>
    </w:p>
    <w:p>
      <w:pPr>
        <w:pStyle w:val="TextBody"/>
        <w:bidi w:val="0"/>
        <w:spacing w:lineRule="auto" w:line="312" w:before="80" w:after="120"/>
        <w:ind w:left="0" w:right="0" w:hanging="216"/>
        <w:jc w:val="left"/>
        <w:rPr/>
      </w:pPr>
      <w:r>
        <w:rPr>
          <w:color w:val="0046C8"/>
        </w:rPr>
        <w:t>•</w:t>
      </w:r>
      <w:r>
        <w:rPr>
          <w:rFonts w:ascii="Lato;sans-serif" w:hAnsi="Lato;sans-serif"/>
          <w:b w:val="false"/>
          <w:color w:val="000000"/>
          <w:sz w:val="19"/>
        </w:rPr>
        <w:t>If within the preceding three years, contributions in any single year from Kimberly-Clark to the organization exceeded the greater of $1 million or 2 percent of the tax-exempt organization’s consolidated gross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629920"/>
                <wp:effectExtent l="0" t="0" r="0" b="0"/>
                <wp:wrapNone/>
                <wp:docPr id="167" name="Frame3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26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26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893" w:type="dxa"/>
        <w:jc w:val="left"/>
        <w:tblInd w:w="0" w:type="dxa"/>
        <w:tblLayout w:type="fixed"/>
        <w:tblCellMar>
          <w:top w:w="28" w:type="dxa"/>
          <w:left w:w="28" w:type="dxa"/>
          <w:bottom w:w="28" w:type="dxa"/>
          <w:right w:w="28" w:type="dxa"/>
        </w:tblCellMar>
      </w:tblPr>
      <w:tblGrid>
        <w:gridCol w:w="188"/>
        <w:gridCol w:w="166"/>
        <w:gridCol w:w="16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168"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36" descr=""/>
                          <pic:cNvPicPr>
                            <a:picLocks noChangeAspect="1" noChangeArrowheads="1"/>
                          </pic:cNvPicPr>
                        </pic:nvPicPr>
                        <pic:blipFill>
                          <a:blip r:embed="rId137"/>
                          <a:stretch>
                            <a:fillRect/>
                          </a:stretch>
                        </pic:blipFill>
                        <pic:spPr bwMode="auto">
                          <a:xfrm>
                            <a:off x="0" y="0"/>
                            <a:ext cx="228600" cy="180975"/>
                          </a:xfrm>
                          <a:prstGeom prst="rect">
                            <a:avLst/>
                          </a:prstGeom>
                        </pic:spPr>
                      </pic:pic>
                    </a:graphicData>
                  </a:graphic>
                </wp:inline>
              </w:drawing>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120"/>
        <w:jc w:val="left"/>
        <w:rPr>
          <w:rFonts w:ascii="Lato;sans-serif" w:hAnsi="Lato;sans-serif"/>
          <w:b w:val="false"/>
          <w:color w:val="0046C8"/>
          <w:sz w:val="48"/>
        </w:rPr>
      </w:pPr>
      <w:r>
        <w:rPr>
          <w:rFonts w:ascii="Lato;sans-serif" w:hAnsi="Lato;sans-serif"/>
          <w:b w:val="false"/>
          <w:color w:val="0046C8"/>
          <w:sz w:val="48"/>
        </w:rPr>
        <w:t>Proposal 1 – 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As of the date of this proxy statement, the Board of Directors consists of thirteen members. Each director’s term will expire at this year’s Annual Meeting. All the nominees standing for election at the Annual Meeting are being nominated to serve until the 2026 Annual Meeting of Stockholders and until their successors have been duly elected and qualified. All nominees have advised us that they will serve if elected; however, should any nominee become unable to serve, proxies may be voted for another person designated by the Board.</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Given the independent status of the nominees, if all nominees are elected at the Annual Meeting, twelve of the thirteen directors on our Board will be Independent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Process for Director Elections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Our Certificate of Incorporation provides that all of our directors must be elected annually. Our By-Laws provide that, in uncontested elections, directors must be elected by a majority of votes cast rather than by a plurality. If any incumbent director does not receive a majority of votes, he or she is required to tender his or her resignation for consideration by the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629920"/>
                <wp:effectExtent l="0" t="0" r="0" b="0"/>
                <wp:wrapNone/>
                <wp:docPr id="169" name="Frame3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27</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895"/>
        <w:gridCol w:w="788"/>
        <w:gridCol w:w="791"/>
        <w:gridCol w:w="161"/>
        <w:gridCol w:w="161"/>
        <w:gridCol w:w="22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Proposal 1: Election of directors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17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7" descr=""/>
                          <pic:cNvPicPr>
                            <a:picLocks noChangeAspect="1" noChangeArrowheads="1"/>
                          </pic:cNvPicPr>
                        </pic:nvPicPr>
                        <pic:blipFill>
                          <a:blip r:embed="rId138"/>
                          <a:stretch>
                            <a:fillRect/>
                          </a:stretch>
                        </pic:blipFill>
                        <pic:spPr bwMode="auto">
                          <a:xfrm>
                            <a:off x="0" y="0"/>
                            <a:ext cx="228600" cy="180975"/>
                          </a:xfrm>
                          <a:prstGeom prst="rect">
                            <a:avLst/>
                          </a:prstGeom>
                        </pic:spPr>
                      </pic:pic>
                    </a:graphicData>
                  </a:graphic>
                </wp:inline>
              </w:drawing>
            </w:r>
            <w:r>
              <w:rPr>
                <w:color w:val="000000"/>
              </w:rPr>
              <w:t> </w:t>
            </w:r>
          </w:p>
        </w:tc>
      </w:tr>
      <w:tr>
        <w:trPr/>
        <w:tc>
          <w:tcPr>
            <w:tcW w:w="24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Process and Criteria for Nominating Directors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Board of Directors is responsible for approving candidates for Board membership. The Board has adopted a Board succession planning policy which formalizes its commitment to refreshing and maintaining a group of directors with diverse perspectives and capabilities. The Board believes that adding fresh perspectives is critical, but also values the institutional knowledge and experience of long-serving directors. The Board is committed to balancing these factors through our succession plan, retirement policy, and director evaluation process.</w:t>
      </w:r>
    </w:p>
    <w:tbl>
      <w:tblPr>
        <w:tblW w:w="10205" w:type="dxa"/>
        <w:jc w:val="left"/>
        <w:tblInd w:w="0" w:type="dxa"/>
        <w:tblLayout w:type="fixed"/>
        <w:tblCellMar>
          <w:top w:w="28" w:type="dxa"/>
          <w:left w:w="28" w:type="dxa"/>
          <w:bottom w:w="28" w:type="dxa"/>
          <w:right w:w="28" w:type="dxa"/>
        </w:tblCellMar>
      </w:tblPr>
      <w:tblGrid>
        <w:gridCol w:w="3613"/>
        <w:gridCol w:w="2723"/>
        <w:gridCol w:w="3869"/>
      </w:tblGrid>
      <w:tr>
        <w:trPr/>
        <w:tc>
          <w:tcPr>
            <w:tcW w:w="3613"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38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Succession Planning</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Under our succession planning policy, the Nominating and Corporate Governance Committee maintains and reviews a Board succession plan, taking into account current composition and qualifications, Kimberly-Clark’s current and expected needs, director tenure, the effectiveness of the Board, and any planned or unplanned vacancies.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257175" cy="104775"/>
                  <wp:effectExtent l="0" t="0" r="0" b="0"/>
                  <wp:docPr id="17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38" descr=""/>
                          <pic:cNvPicPr>
                            <a:picLocks noChangeAspect="1" noChangeArrowheads="1"/>
                          </pic:cNvPicPr>
                        </pic:nvPicPr>
                        <pic:blipFill>
                          <a:blip r:embed="rId139"/>
                          <a:stretch>
                            <a:fillRect/>
                          </a:stretch>
                        </pic:blipFill>
                        <pic:spPr bwMode="auto">
                          <a:xfrm>
                            <a:off x="0" y="0"/>
                            <a:ext cx="257175" cy="104775"/>
                          </a:xfrm>
                          <a:prstGeom prst="rect">
                            <a:avLst/>
                          </a:prstGeom>
                        </pic:spPr>
                      </pic:pic>
                    </a:graphicData>
                  </a:graphic>
                </wp:inline>
              </w:drawing>
            </w:r>
            <w:r>
              <w:rPr>
                <w:color w:val="000000"/>
              </w:rPr>
              <w:t> </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Candidate Sourcing</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In consultation with the Chairman of the Board and the Lead Director, the Committee screens and recruits director candidates and recommends to the Board any new appointments and nominees for election as directors at our annual meeting of stockholders. It also recommends nominees to fill any vacancies. As provided in our Certificate of Incorporation, the Board of Directors has the authority to determine the size of the Board and appoint directors between annual meetings of stockholders. </w:t>
            </w:r>
          </w:p>
          <w:p>
            <w:pPr>
              <w:pStyle w:val="TableContents"/>
              <w:bidi w:val="0"/>
              <w:spacing w:lineRule="auto" w:line="312" w:before="120" w:after="283"/>
              <w:jc w:val="left"/>
              <w:rPr>
                <w:rFonts w:ascii="Lato;sans-serif" w:hAnsi="Lato;sans-serif"/>
                <w:b w:val="false"/>
                <w:color w:val="000000"/>
                <w:sz w:val="19"/>
              </w:rPr>
            </w:pPr>
            <w:r>
              <w:rPr>
                <w:rFonts w:ascii="Lato;sans-serif" w:hAnsi="Lato;sans-serif"/>
                <w:b w:val="false"/>
                <w:color w:val="000000"/>
                <w:sz w:val="19"/>
              </w:rPr>
              <w:t>The Committee may receive recommendations for Board candidates from various sources, including our directors, management, and stockholders. The Nominating and Corporate Governance Committee periodically retains a search firm to assist it in identifying and recruiting director candidates meeting the criteria specified by the Committee. The Committee utilized a search firm in connection with Mr. Romanelli’s nomination. In addition, as described in “Corporate Governance - Stockholder Rights,” our By-Laws provide for proxy access stockholder nominations of director candidates. Stockholders who wish to nominate directors under our proxy access By-Law should follow the instructions under “Other Information - Stockholder Director Nominees for Inclusion in Next Year’s Proxy Statement.” Stockholders who wish to nominate directors who are not intended to be included in the company’s proxy materials should follow the instructions under “Other Information - Stockholder Director Nominees Not Included in Next Year’s Proxy Statement.”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257175" cy="104775"/>
                  <wp:effectExtent l="0" t="0" r="0" b="0"/>
                  <wp:docPr id="17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39" descr=""/>
                          <pic:cNvPicPr>
                            <a:picLocks noChangeAspect="1" noChangeArrowheads="1"/>
                          </pic:cNvPicPr>
                        </pic:nvPicPr>
                        <pic:blipFill>
                          <a:blip r:embed="rId140"/>
                          <a:stretch>
                            <a:fillRect/>
                          </a:stretch>
                        </pic:blipFill>
                        <pic:spPr bwMode="auto">
                          <a:xfrm>
                            <a:off x="0" y="0"/>
                            <a:ext cx="257175" cy="104775"/>
                          </a:xfrm>
                          <a:prstGeom prst="rect">
                            <a:avLst/>
                          </a:prstGeom>
                        </pic:spPr>
                      </pic:pic>
                    </a:graphicData>
                  </a:graphic>
                </wp:inline>
              </w:drawing>
            </w:r>
            <w:r>
              <w:rPr>
                <w:color w:val="000000"/>
              </w:rPr>
              <w:t> </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Director Criteria</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The Committee believes that the criteria for director nominees should foster effective corporate governance, support our strategies and businesses, and ensure that our directors, as a group, both have an overall mix of the attributes needed for an effective Board and reflect diversity of background and viewpoint. The criteria should also support the successful recruitment of qualified candidates.</w:t>
            </w:r>
          </w:p>
          <w:p>
            <w:pPr>
              <w:pStyle w:val="TableContents"/>
              <w:bidi w:val="0"/>
              <w:spacing w:lineRule="auto" w:line="312" w:before="120" w:after="283"/>
              <w:jc w:val="left"/>
              <w:rPr>
                <w:rFonts w:ascii="Lato;sans-serif" w:hAnsi="Lato;sans-serif"/>
                <w:b w:val="false"/>
                <w:color w:val="000000"/>
                <w:sz w:val="19"/>
              </w:rPr>
            </w:pPr>
            <w:r>
              <w:rPr>
                <w:rFonts w:ascii="Lato;sans-serif" w:hAnsi="Lato;sans-serif"/>
                <w:b w:val="false"/>
                <w:color w:val="000000"/>
                <w:sz w:val="19"/>
              </w:rPr>
              <w:t>Qualified candidates for director are those who, in the judgment of the Committee, possess a sufficient mix of the experience attributes listed below to ensure effective service on the Board. In addition, all nominees must possess high standards for ethical behavior, good interpersonal skills, and a proactive and solution-oriented leadership style.</w:t>
            </w:r>
          </w:p>
        </w:tc>
      </w:tr>
      <w:tr>
        <w:trPr/>
        <w:tc>
          <w:tcPr>
            <w:tcW w:w="10205" w:type="dxa"/>
            <w:gridSpan w:val="3"/>
            <w:tcBorders>
              <w:bottom w:val="single" w:sz="4" w:space="0" w:color="B3B3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629920"/>
                <wp:effectExtent l="0" t="0" r="0" b="0"/>
                <wp:wrapNone/>
                <wp:docPr id="173" name="Frame3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28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28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188"/>
        <w:gridCol w:w="166"/>
        <w:gridCol w:w="167"/>
        <w:gridCol w:w="733"/>
        <w:gridCol w:w="733"/>
        <w:gridCol w:w="103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17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40" descr=""/>
                          <pic:cNvPicPr>
                            <a:picLocks noChangeAspect="1" noChangeArrowheads="1"/>
                          </pic:cNvPicPr>
                        </pic:nvPicPr>
                        <pic:blipFill>
                          <a:blip r:embed="rId141"/>
                          <a:stretch>
                            <a:fillRect/>
                          </a:stretch>
                        </pic:blipFill>
                        <pic:spPr bwMode="auto">
                          <a:xfrm>
                            <a:off x="0" y="0"/>
                            <a:ext cx="228600" cy="180975"/>
                          </a:xfrm>
                          <a:prstGeom prst="rect">
                            <a:avLst/>
                          </a:prstGeom>
                        </pic:spPr>
                      </pic:pic>
                    </a:graphicData>
                  </a:graphic>
                </wp:inline>
              </w:drawing>
            </w: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Proposal 1: Election of directors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3"/>
        <w:gridCol w:w="750"/>
        <w:gridCol w:w="513"/>
        <w:gridCol w:w="3106"/>
        <w:gridCol w:w="2101"/>
        <w:gridCol w:w="2882"/>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1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22"/>
              </w:rPr>
            </w:pPr>
            <w:bookmarkStart w:id="0" w:name="ib4053da549454cd2aa33afc924b357a9_0-0-1-"/>
            <w:bookmarkEnd w:id="0"/>
            <w:r>
              <w:rPr>
                <w:rFonts w:ascii="Lato Bold;sans-serif" w:hAnsi="Lato Bold;sans-serif"/>
                <w:b/>
                <w:color w:val="000000"/>
                <w:sz w:val="22"/>
              </w:rPr>
              <w:t>Key Director Experience Attributes</w:t>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9"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Consumer Products</w:t>
            </w:r>
          </w:p>
        </w:tc>
        <w:tc>
          <w:tcPr>
            <w:tcW w:w="808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Perspective on consumer needs and buying habits, industry trends, marketing campaigns and customer engagement to support our growth initiatives.</w:t>
            </w:r>
          </w:p>
        </w:tc>
      </w:tr>
      <w:tr>
        <w:trPr/>
        <w:tc>
          <w:tcPr>
            <w:tcW w:w="21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Digital</w:t>
            </w:r>
          </w:p>
        </w:tc>
        <w:tc>
          <w:tcPr>
            <w:tcW w:w="80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Knowledge of emerging technologies, including digital and e-commerce to support marketing, consumer engagement and innovation.</w:t>
            </w:r>
          </w:p>
        </w:tc>
      </w:tr>
      <w:tr>
        <w:trPr/>
        <w:tc>
          <w:tcPr>
            <w:tcW w:w="21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Social Responsibility</w:t>
            </w:r>
          </w:p>
        </w:tc>
        <w:tc>
          <w:tcPr>
            <w:tcW w:w="80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Experience leading or advocating for social responsibility initiatives, health and public policy, and integrating social responsibility into corporate strategy to support integrated sustainability programs.</w:t>
            </w:r>
          </w:p>
        </w:tc>
      </w:tr>
      <w:tr>
        <w:trPr/>
        <w:tc>
          <w:tcPr>
            <w:tcW w:w="21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International</w:t>
            </w:r>
          </w:p>
        </w:tc>
        <w:tc>
          <w:tcPr>
            <w:tcW w:w="80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Experience with markets outside of the United States, including exposure to different cultural perspectives and practices to support our global operations.</w:t>
            </w:r>
          </w:p>
        </w:tc>
      </w:tr>
      <w:tr>
        <w:trPr/>
        <w:tc>
          <w:tcPr>
            <w:tcW w:w="21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Marketing</w:t>
            </w:r>
          </w:p>
        </w:tc>
        <w:tc>
          <w:tcPr>
            <w:tcW w:w="80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Perspectives on building brand awareness and marketing to consumers as well as identifying, developing, and marketing new products, to support our growth initiatives.</w:t>
            </w:r>
          </w:p>
        </w:tc>
      </w:tr>
      <w:tr>
        <w:trPr/>
        <w:tc>
          <w:tcPr>
            <w:tcW w:w="21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M&amp;A</w:t>
            </w:r>
          </w:p>
        </w:tc>
        <w:tc>
          <w:tcPr>
            <w:tcW w:w="80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Experience with acquisitions, divestitures and other strategic transactions to support our portfolio optimization efforts.</w:t>
            </w:r>
          </w:p>
        </w:tc>
      </w:tr>
      <w:tr>
        <w:trPr/>
        <w:tc>
          <w:tcPr>
            <w:tcW w:w="21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Financial Expertise</w:t>
            </w:r>
          </w:p>
        </w:tc>
        <w:tc>
          <w:tcPr>
            <w:tcW w:w="80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Understanding of accounting and financial reporting processes in large, complex businesses to support the oversight of our financial reporting and compliance.</w:t>
            </w:r>
          </w:p>
        </w:tc>
      </w:tr>
      <w:tr>
        <w:trPr/>
        <w:tc>
          <w:tcPr>
            <w:tcW w:w="21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Innovation/R&amp;D</w:t>
            </w:r>
          </w:p>
        </w:tc>
        <w:tc>
          <w:tcPr>
            <w:tcW w:w="80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Experience with innovation processes and knowledge of emerging technologies to support our efforts to translate our consumer understanding into new and successful products.</w:t>
            </w:r>
          </w:p>
        </w:tc>
      </w:tr>
      <w:tr>
        <w:trPr/>
        <w:tc>
          <w:tcPr>
            <w:tcW w:w="21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Strategy &amp; Transformation</w:t>
            </w:r>
          </w:p>
        </w:tc>
        <w:tc>
          <w:tcPr>
            <w:tcW w:w="80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Experience with strategic planning and transformation initiatives.</w:t>
            </w:r>
          </w:p>
        </w:tc>
      </w:tr>
      <w:tr>
        <w:trPr/>
        <w:tc>
          <w:tcPr>
            <w:tcW w:w="21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CEO Leadership</w:t>
            </w:r>
          </w:p>
        </w:tc>
        <w:tc>
          <w:tcPr>
            <w:tcW w:w="80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Leadership experience with a complex, large enterprise to offer perspectives on organizational planning, talent development, and driving long-term growth.</w:t>
            </w:r>
          </w:p>
        </w:tc>
      </w:tr>
      <w:tr>
        <w:trPr/>
        <w:tc>
          <w:tcPr>
            <w:tcW w:w="21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Cybersecurity</w:t>
            </w:r>
          </w:p>
        </w:tc>
        <w:tc>
          <w:tcPr>
            <w:tcW w:w="80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A background or oversight experience in information technology/software, cybersecurity or technology to support the Board’s management of cybersecurity risks.</w:t>
            </w:r>
          </w:p>
        </w:tc>
      </w:tr>
      <w:tr>
        <w:trPr/>
        <w:tc>
          <w:tcPr>
            <w:tcW w:w="2116"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Human Capital</w:t>
            </w:r>
          </w:p>
        </w:tc>
        <w:tc>
          <w:tcPr>
            <w:tcW w:w="808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Experience with talent acquisition, development and retention and fostering a positive corporate culture.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629920"/>
                <wp:effectExtent l="0" t="0" r="0" b="0"/>
                <wp:wrapNone/>
                <wp:docPr id="175" name="Frame3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29</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895"/>
        <w:gridCol w:w="788"/>
        <w:gridCol w:w="791"/>
        <w:gridCol w:w="161"/>
        <w:gridCol w:w="161"/>
        <w:gridCol w:w="22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Proposal 1: Election of directors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176"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41" descr=""/>
                          <pic:cNvPicPr>
                            <a:picLocks noChangeAspect="1" noChangeArrowheads="1"/>
                          </pic:cNvPicPr>
                        </pic:nvPicPr>
                        <pic:blipFill>
                          <a:blip r:embed="rId142"/>
                          <a:stretch>
                            <a:fillRect/>
                          </a:stretch>
                        </pic:blipFill>
                        <pic:spPr bwMode="auto">
                          <a:xfrm>
                            <a:off x="0" y="0"/>
                            <a:ext cx="228600" cy="180975"/>
                          </a:xfrm>
                          <a:prstGeom prst="rect">
                            <a:avLst/>
                          </a:prstGeom>
                        </pic:spPr>
                      </pic:pic>
                    </a:graphicData>
                  </a:graphic>
                </wp:inline>
              </w:drawing>
            </w:r>
            <w:r>
              <w:rPr>
                <w:color w:val="000000"/>
              </w:rPr>
              <w:t> </w:t>
            </w:r>
          </w:p>
        </w:tc>
      </w:tr>
      <w:tr>
        <w:trPr/>
        <w:tc>
          <w:tcPr>
            <w:tcW w:w="24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Key Attributes of Current Directors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Nominating and Corporate Governance Committee has reviewed the background of each of our director nominees in light of the experience attributes described on the prior page. The Committee has determined that each nominee possesses a sufficient mix of the experience attributes and that the nominees collectively possess the necessary experience to effectively guide our company.</w:t>
      </w:r>
    </w:p>
    <w:tbl>
      <w:tblPr>
        <w:tblW w:w="5170" w:type="dxa"/>
        <w:jc w:val="left"/>
        <w:tblInd w:w="0" w:type="dxa"/>
        <w:tblLayout w:type="fixed"/>
        <w:tblCellMar>
          <w:top w:w="28" w:type="dxa"/>
          <w:left w:w="28" w:type="dxa"/>
          <w:bottom w:w="28" w:type="dxa"/>
          <w:right w:w="28" w:type="dxa"/>
        </w:tblCellMar>
      </w:tblPr>
      <w:tblGrid>
        <w:gridCol w:w="471"/>
        <w:gridCol w:w="415"/>
        <w:gridCol w:w="417"/>
        <w:gridCol w:w="1033"/>
        <w:gridCol w:w="1033"/>
        <w:gridCol w:w="1037"/>
        <w:gridCol w:w="223"/>
        <w:gridCol w:w="223"/>
        <w:gridCol w:w="318"/>
      </w:tblGrid>
      <w:tr>
        <w:trPr/>
        <w:tc>
          <w:tcPr>
            <w:tcW w:w="47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66700" cy="228600"/>
                  <wp:effectExtent l="0" t="0" r="0" b="0"/>
                  <wp:docPr id="177"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42" descr=""/>
                          <pic:cNvPicPr>
                            <a:picLocks noChangeAspect="1" noChangeArrowheads="1"/>
                          </pic:cNvPicPr>
                        </pic:nvPicPr>
                        <pic:blipFill>
                          <a:blip r:embed="rId143"/>
                          <a:stretch>
                            <a:fillRect/>
                          </a:stretch>
                        </pic:blipFill>
                        <pic:spPr bwMode="auto">
                          <a:xfrm>
                            <a:off x="0" y="0"/>
                            <a:ext cx="266700" cy="228600"/>
                          </a:xfrm>
                          <a:prstGeom prst="rect">
                            <a:avLst/>
                          </a:prstGeom>
                        </pic:spPr>
                      </pic:pic>
                    </a:graphicData>
                  </a:graphic>
                </wp:inline>
              </w:drawing>
            </w:r>
            <w:r>
              <w:rPr>
                <w:color w:val="000000"/>
              </w:rPr>
              <w:t> </w:t>
            </w:r>
          </w:p>
        </w:tc>
        <w:tc>
          <w:tcPr>
            <w:tcW w:w="31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22"/>
              </w:rPr>
            </w:pPr>
            <w:r>
              <w:rPr>
                <w:rFonts w:ascii="Lato Bold;sans-serif" w:hAnsi="Lato Bold;sans-serif"/>
                <w:b/>
                <w:color w:val="000000"/>
                <w:sz w:val="22"/>
              </w:rPr>
              <w:t>Consumer Products</w:t>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6"/>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695575" cy="180975"/>
                  <wp:effectExtent l="0" t="0" r="0" b="0"/>
                  <wp:docPr id="178"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43" descr=""/>
                          <pic:cNvPicPr>
                            <a:picLocks noChangeAspect="1" noChangeArrowheads="1"/>
                          </pic:cNvPicPr>
                        </pic:nvPicPr>
                        <pic:blipFill>
                          <a:blip r:embed="rId144"/>
                          <a:stretch>
                            <a:fillRect/>
                          </a:stretch>
                        </pic:blipFill>
                        <pic:spPr bwMode="auto">
                          <a:xfrm>
                            <a:off x="0" y="0"/>
                            <a:ext cx="2695575" cy="180975"/>
                          </a:xfrm>
                          <a:prstGeom prst="rect">
                            <a:avLst/>
                          </a:prstGeom>
                        </pic:spPr>
                      </pic:pic>
                    </a:graphicData>
                  </a:graphic>
                </wp:inline>
              </w:drawing>
            </w:r>
            <w:r>
              <w:rPr>
                <w:color w:val="000000"/>
              </w:rPr>
              <w:t> </w:t>
            </w:r>
          </w:p>
        </w:tc>
        <w:tc>
          <w:tcPr>
            <w:tcW w:w="76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10/13</w:t>
            </w:r>
          </w:p>
        </w:tc>
      </w:tr>
    </w:tbl>
    <w:tbl>
      <w:tblPr>
        <w:tblW w:w="5170" w:type="dxa"/>
        <w:jc w:val="left"/>
        <w:tblInd w:w="0" w:type="dxa"/>
        <w:tblLayout w:type="fixed"/>
        <w:tblCellMar>
          <w:top w:w="28" w:type="dxa"/>
          <w:left w:w="28" w:type="dxa"/>
          <w:bottom w:w="28" w:type="dxa"/>
          <w:right w:w="28" w:type="dxa"/>
        </w:tblCellMar>
      </w:tblPr>
      <w:tblGrid>
        <w:gridCol w:w="457"/>
        <w:gridCol w:w="403"/>
        <w:gridCol w:w="406"/>
        <w:gridCol w:w="1045"/>
        <w:gridCol w:w="1045"/>
        <w:gridCol w:w="1050"/>
        <w:gridCol w:w="223"/>
        <w:gridCol w:w="223"/>
        <w:gridCol w:w="318"/>
      </w:tblGrid>
      <w:tr>
        <w:trPr/>
        <w:tc>
          <w:tcPr>
            <w:tcW w:w="45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266"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228600"/>
                  <wp:effectExtent l="0" t="0" r="0" b="0"/>
                  <wp:docPr id="179"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44" descr=""/>
                          <pic:cNvPicPr>
                            <a:picLocks noChangeAspect="1" noChangeArrowheads="1"/>
                          </pic:cNvPicPr>
                        </pic:nvPicPr>
                        <pic:blipFill>
                          <a:blip r:embed="rId145"/>
                          <a:stretch>
                            <a:fillRect/>
                          </a:stretch>
                        </pic:blipFill>
                        <pic:spPr bwMode="auto">
                          <a:xfrm>
                            <a:off x="0" y="0"/>
                            <a:ext cx="228600" cy="228600"/>
                          </a:xfrm>
                          <a:prstGeom prst="rect">
                            <a:avLst/>
                          </a:prstGeom>
                        </pic:spPr>
                      </pic:pic>
                    </a:graphicData>
                  </a:graphic>
                </wp:inline>
              </w:drawing>
            </w:r>
            <w:r>
              <w:rPr>
                <w:color w:val="000000"/>
              </w:rPr>
              <w:t> </w:t>
            </w:r>
          </w:p>
        </w:tc>
        <w:tc>
          <w:tcPr>
            <w:tcW w:w="3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22"/>
              </w:rPr>
            </w:pPr>
            <w:r>
              <w:rPr>
                <w:rFonts w:ascii="Lato Bold;sans-serif" w:hAnsi="Lato Bold;sans-serif"/>
                <w:b/>
                <w:color w:val="000000"/>
                <w:sz w:val="22"/>
              </w:rPr>
              <w:t>Financial Expertise</w:t>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6"/>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695575" cy="180975"/>
                  <wp:effectExtent l="0" t="0" r="0" b="0"/>
                  <wp:docPr id="180"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45" descr=""/>
                          <pic:cNvPicPr>
                            <a:picLocks noChangeAspect="1" noChangeArrowheads="1"/>
                          </pic:cNvPicPr>
                        </pic:nvPicPr>
                        <pic:blipFill>
                          <a:blip r:embed="rId146"/>
                          <a:stretch>
                            <a:fillRect/>
                          </a:stretch>
                        </pic:blipFill>
                        <pic:spPr bwMode="auto">
                          <a:xfrm>
                            <a:off x="0" y="0"/>
                            <a:ext cx="2695575" cy="180975"/>
                          </a:xfrm>
                          <a:prstGeom prst="rect">
                            <a:avLst/>
                          </a:prstGeom>
                        </pic:spPr>
                      </pic:pic>
                    </a:graphicData>
                  </a:graphic>
                </wp:inline>
              </w:drawing>
            </w:r>
            <w:r>
              <w:rPr>
                <w:color w:val="000000"/>
              </w:rPr>
              <w:t> </w:t>
            </w:r>
          </w:p>
        </w:tc>
        <w:tc>
          <w:tcPr>
            <w:tcW w:w="76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11/13</w:t>
            </w:r>
          </w:p>
        </w:tc>
      </w:tr>
    </w:tbl>
    <w:p>
      <w:pPr>
        <w:pStyle w:val="TextBody"/>
        <w:bidi w:val="0"/>
        <w:spacing w:before="0" w:after="0"/>
        <w:jc w:val="left"/>
        <w:rPr/>
      </w:pPr>
      <w:r>
        <w:rPr/>
      </w:r>
    </w:p>
    <w:tbl>
      <w:tblPr>
        <w:tblW w:w="5036" w:type="dxa"/>
        <w:jc w:val="left"/>
        <w:tblInd w:w="0" w:type="dxa"/>
        <w:tblLayout w:type="fixed"/>
        <w:tblCellMar>
          <w:top w:w="28" w:type="dxa"/>
          <w:left w:w="28" w:type="dxa"/>
          <w:bottom w:w="28" w:type="dxa"/>
          <w:right w:w="28" w:type="dxa"/>
        </w:tblCellMar>
      </w:tblPr>
      <w:tblGrid>
        <w:gridCol w:w="591"/>
        <w:gridCol w:w="520"/>
        <w:gridCol w:w="526"/>
        <w:gridCol w:w="921"/>
        <w:gridCol w:w="921"/>
        <w:gridCol w:w="927"/>
        <w:gridCol w:w="184"/>
        <w:gridCol w:w="184"/>
        <w:gridCol w:w="26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47650" cy="247650"/>
                  <wp:effectExtent l="0" t="0" r="0" b="0"/>
                  <wp:docPr id="181"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46" descr=""/>
                          <pic:cNvPicPr>
                            <a:picLocks noChangeAspect="1" noChangeArrowheads="1"/>
                          </pic:cNvPicPr>
                        </pic:nvPicPr>
                        <pic:blipFill>
                          <a:blip r:embed="rId147"/>
                          <a:stretch>
                            <a:fillRect/>
                          </a:stretch>
                        </pic:blipFill>
                        <pic:spPr bwMode="auto">
                          <a:xfrm>
                            <a:off x="0" y="0"/>
                            <a:ext cx="247650" cy="247650"/>
                          </a:xfrm>
                          <a:prstGeom prst="rect">
                            <a:avLst/>
                          </a:prstGeom>
                        </pic:spPr>
                      </pic:pic>
                    </a:graphicData>
                  </a:graphic>
                </wp:inline>
              </w:drawing>
            </w:r>
            <w:r>
              <w:rPr>
                <w:color w:val="000000"/>
              </w:rPr>
              <w:t> </w:t>
            </w:r>
          </w:p>
        </w:tc>
        <w:tc>
          <w:tcPr>
            <w:tcW w:w="2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22"/>
              </w:rPr>
            </w:pPr>
            <w:r>
              <w:rPr>
                <w:rFonts w:ascii="Lato Bold;sans-serif" w:hAnsi="Lato Bold;sans-serif"/>
                <w:b/>
                <w:color w:val="000000"/>
                <w:sz w:val="22"/>
              </w:rPr>
              <w:t>Digital</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6"/>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695575" cy="180975"/>
                  <wp:effectExtent l="0" t="0" r="0" b="0"/>
                  <wp:docPr id="182"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47" descr=""/>
                          <pic:cNvPicPr>
                            <a:picLocks noChangeAspect="1" noChangeArrowheads="1"/>
                          </pic:cNvPicPr>
                        </pic:nvPicPr>
                        <pic:blipFill>
                          <a:blip r:embed="rId148"/>
                          <a:stretch>
                            <a:fillRect/>
                          </a:stretch>
                        </pic:blipFill>
                        <pic:spPr bwMode="auto">
                          <a:xfrm>
                            <a:off x="0" y="0"/>
                            <a:ext cx="2695575" cy="180975"/>
                          </a:xfrm>
                          <a:prstGeom prst="rect">
                            <a:avLst/>
                          </a:prstGeom>
                        </pic:spPr>
                      </pic:pic>
                    </a:graphicData>
                  </a:graphic>
                </wp:inline>
              </w:drawing>
            </w:r>
            <w:r>
              <w:rPr>
                <w:color w:val="000000"/>
              </w:rPr>
              <w:t> </w:t>
            </w:r>
          </w:p>
        </w:tc>
        <w:tc>
          <w:tcPr>
            <w:tcW w:w="6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7/13</w:t>
            </w:r>
          </w:p>
        </w:tc>
      </w:tr>
    </w:tbl>
    <w:tbl>
      <w:tblPr>
        <w:tblW w:w="5036" w:type="dxa"/>
        <w:jc w:val="left"/>
        <w:tblInd w:w="0" w:type="dxa"/>
        <w:tblLayout w:type="fixed"/>
        <w:tblCellMar>
          <w:top w:w="28" w:type="dxa"/>
          <w:left w:w="28" w:type="dxa"/>
          <w:bottom w:w="28" w:type="dxa"/>
          <w:right w:w="28" w:type="dxa"/>
        </w:tblCellMar>
      </w:tblPr>
      <w:tblGrid>
        <w:gridCol w:w="400"/>
        <w:gridCol w:w="353"/>
        <w:gridCol w:w="355"/>
        <w:gridCol w:w="1097"/>
        <w:gridCol w:w="1097"/>
        <w:gridCol w:w="1104"/>
        <w:gridCol w:w="184"/>
        <w:gridCol w:w="184"/>
        <w:gridCol w:w="262"/>
      </w:tblGrid>
      <w:tr>
        <w:trPr/>
        <w:tc>
          <w:tcPr>
            <w:tcW w:w="4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108"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285750"/>
                  <wp:effectExtent l="0" t="0" r="0" b="0"/>
                  <wp:docPr id="183"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48" descr=""/>
                          <pic:cNvPicPr>
                            <a:picLocks noChangeAspect="1" noChangeArrowheads="1"/>
                          </pic:cNvPicPr>
                        </pic:nvPicPr>
                        <pic:blipFill>
                          <a:blip r:embed="rId149"/>
                          <a:stretch>
                            <a:fillRect/>
                          </a:stretch>
                        </pic:blipFill>
                        <pic:spPr bwMode="auto">
                          <a:xfrm>
                            <a:off x="0" y="0"/>
                            <a:ext cx="228600" cy="285750"/>
                          </a:xfrm>
                          <a:prstGeom prst="rect">
                            <a:avLst/>
                          </a:prstGeom>
                        </pic:spPr>
                      </pic:pic>
                    </a:graphicData>
                  </a:graphic>
                </wp:inline>
              </w:drawing>
            </w:r>
            <w:r>
              <w:rPr>
                <w:color w:val="000000"/>
              </w:rPr>
              <w:t> </w:t>
            </w:r>
          </w:p>
        </w:tc>
        <w:tc>
          <w:tcPr>
            <w:tcW w:w="3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22"/>
              </w:rPr>
            </w:pPr>
            <w:r>
              <w:rPr>
                <w:rFonts w:ascii="Lato Bold;sans-serif" w:hAnsi="Lato Bold;sans-serif"/>
                <w:b/>
                <w:color w:val="000000"/>
                <w:sz w:val="22"/>
              </w:rPr>
              <w:t>Innovation/R&amp;D</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6"/>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695575" cy="180975"/>
                  <wp:effectExtent l="0" t="0" r="0" b="0"/>
                  <wp:docPr id="184"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49" descr=""/>
                          <pic:cNvPicPr>
                            <a:picLocks noChangeAspect="1" noChangeArrowheads="1"/>
                          </pic:cNvPicPr>
                        </pic:nvPicPr>
                        <pic:blipFill>
                          <a:blip r:embed="rId150"/>
                          <a:stretch>
                            <a:fillRect/>
                          </a:stretch>
                        </pic:blipFill>
                        <pic:spPr bwMode="auto">
                          <a:xfrm>
                            <a:off x="0" y="0"/>
                            <a:ext cx="2695575" cy="180975"/>
                          </a:xfrm>
                          <a:prstGeom prst="rect">
                            <a:avLst/>
                          </a:prstGeom>
                        </pic:spPr>
                      </pic:pic>
                    </a:graphicData>
                  </a:graphic>
                </wp:inline>
              </w:drawing>
            </w:r>
            <w:r>
              <w:rPr>
                <w:color w:val="000000"/>
              </w:rPr>
              <w:t> </w:t>
            </w:r>
          </w:p>
        </w:tc>
        <w:tc>
          <w:tcPr>
            <w:tcW w:w="6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8/13</w:t>
            </w:r>
          </w:p>
        </w:tc>
      </w:tr>
    </w:tbl>
    <w:p>
      <w:pPr>
        <w:pStyle w:val="TextBody"/>
        <w:bidi w:val="0"/>
        <w:spacing w:before="0" w:after="0"/>
        <w:jc w:val="left"/>
        <w:rPr/>
      </w:pPr>
      <w:r>
        <w:rPr/>
      </w:r>
    </w:p>
    <w:tbl>
      <w:tblPr>
        <w:tblW w:w="5036" w:type="dxa"/>
        <w:jc w:val="left"/>
        <w:tblInd w:w="0" w:type="dxa"/>
        <w:tblLayout w:type="fixed"/>
        <w:tblCellMar>
          <w:top w:w="28" w:type="dxa"/>
          <w:left w:w="28" w:type="dxa"/>
          <w:bottom w:w="28" w:type="dxa"/>
          <w:right w:w="28" w:type="dxa"/>
        </w:tblCellMar>
      </w:tblPr>
      <w:tblGrid>
        <w:gridCol w:w="350"/>
        <w:gridCol w:w="306"/>
        <w:gridCol w:w="310"/>
        <w:gridCol w:w="1145"/>
        <w:gridCol w:w="1145"/>
        <w:gridCol w:w="1150"/>
        <w:gridCol w:w="184"/>
        <w:gridCol w:w="184"/>
        <w:gridCol w:w="262"/>
      </w:tblGrid>
      <w:tr>
        <w:trPr/>
        <w:tc>
          <w:tcPr>
            <w:tcW w:w="35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966"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38125" cy="295275"/>
                  <wp:effectExtent l="0" t="0" r="0" b="0"/>
                  <wp:docPr id="185"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50" descr=""/>
                          <pic:cNvPicPr>
                            <a:picLocks noChangeAspect="1" noChangeArrowheads="1"/>
                          </pic:cNvPicPr>
                        </pic:nvPicPr>
                        <pic:blipFill>
                          <a:blip r:embed="rId151"/>
                          <a:stretch>
                            <a:fillRect/>
                          </a:stretch>
                        </pic:blipFill>
                        <pic:spPr bwMode="auto">
                          <a:xfrm>
                            <a:off x="0" y="0"/>
                            <a:ext cx="238125" cy="295275"/>
                          </a:xfrm>
                          <a:prstGeom prst="rect">
                            <a:avLst/>
                          </a:prstGeom>
                        </pic:spPr>
                      </pic:pic>
                    </a:graphicData>
                  </a:graphic>
                </wp:inline>
              </w:drawing>
            </w:r>
            <w:r>
              <w:rPr>
                <w:color w:val="000000"/>
              </w:rPr>
              <w:t> </w:t>
            </w:r>
          </w:p>
        </w:tc>
        <w:tc>
          <w:tcPr>
            <w:tcW w:w="3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22"/>
              </w:rPr>
            </w:pPr>
            <w:r>
              <w:rPr>
                <w:rFonts w:ascii="Lato Bold;sans-serif" w:hAnsi="Lato Bold;sans-serif"/>
                <w:b/>
                <w:color w:val="000000"/>
                <w:sz w:val="22"/>
              </w:rPr>
              <w:t>Social Responsibility</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6"/>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695575" cy="180975"/>
                  <wp:effectExtent l="0" t="0" r="0" b="0"/>
                  <wp:docPr id="186"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51" descr=""/>
                          <pic:cNvPicPr>
                            <a:picLocks noChangeAspect="1" noChangeArrowheads="1"/>
                          </pic:cNvPicPr>
                        </pic:nvPicPr>
                        <pic:blipFill>
                          <a:blip r:embed="rId152"/>
                          <a:stretch>
                            <a:fillRect/>
                          </a:stretch>
                        </pic:blipFill>
                        <pic:spPr bwMode="auto">
                          <a:xfrm>
                            <a:off x="0" y="0"/>
                            <a:ext cx="2695575" cy="180975"/>
                          </a:xfrm>
                          <a:prstGeom prst="rect">
                            <a:avLst/>
                          </a:prstGeom>
                        </pic:spPr>
                      </pic:pic>
                    </a:graphicData>
                  </a:graphic>
                </wp:inline>
              </w:drawing>
            </w:r>
            <w:r>
              <w:rPr>
                <w:color w:val="000000"/>
              </w:rPr>
              <w:t> </w:t>
            </w:r>
          </w:p>
        </w:tc>
        <w:tc>
          <w:tcPr>
            <w:tcW w:w="6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6/13</w:t>
            </w:r>
          </w:p>
        </w:tc>
      </w:tr>
    </w:tbl>
    <w:tbl>
      <w:tblPr>
        <w:tblW w:w="5110" w:type="dxa"/>
        <w:jc w:val="left"/>
        <w:tblInd w:w="0" w:type="dxa"/>
        <w:tblLayout w:type="fixed"/>
        <w:tblCellMar>
          <w:top w:w="28" w:type="dxa"/>
          <w:left w:w="28" w:type="dxa"/>
          <w:bottom w:w="28" w:type="dxa"/>
          <w:right w:w="28" w:type="dxa"/>
        </w:tblCellMar>
      </w:tblPr>
      <w:tblGrid>
        <w:gridCol w:w="280"/>
        <w:gridCol w:w="247"/>
        <w:gridCol w:w="248"/>
        <w:gridCol w:w="1189"/>
        <w:gridCol w:w="1189"/>
        <w:gridCol w:w="1193"/>
        <w:gridCol w:w="223"/>
        <w:gridCol w:w="223"/>
        <w:gridCol w:w="318"/>
      </w:tblGrid>
      <w:tr>
        <w:trPr/>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19075" cy="295275"/>
                  <wp:effectExtent l="0" t="0" r="0" b="0"/>
                  <wp:docPr id="187"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52" descr=""/>
                          <pic:cNvPicPr>
                            <a:picLocks noChangeAspect="1" noChangeArrowheads="1"/>
                          </pic:cNvPicPr>
                        </pic:nvPicPr>
                        <pic:blipFill>
                          <a:blip r:embed="rId153"/>
                          <a:stretch>
                            <a:fillRect/>
                          </a:stretch>
                        </pic:blipFill>
                        <pic:spPr bwMode="auto">
                          <a:xfrm>
                            <a:off x="0" y="0"/>
                            <a:ext cx="219075" cy="295275"/>
                          </a:xfrm>
                          <a:prstGeom prst="rect">
                            <a:avLst/>
                          </a:prstGeom>
                        </pic:spPr>
                      </pic:pic>
                    </a:graphicData>
                  </a:graphic>
                </wp:inline>
              </w:drawing>
            </w:r>
            <w:r>
              <w:rPr>
                <w:color w:val="000000"/>
              </w:rPr>
              <w:t> </w:t>
            </w:r>
          </w:p>
        </w:tc>
        <w:tc>
          <w:tcPr>
            <w:tcW w:w="3571"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Lato Bold;sans-serif" w:hAnsi="Lato Bold;sans-serif"/>
                <w:b/>
                <w:color w:val="000000"/>
                <w:sz w:val="22"/>
              </w:rPr>
            </w:pPr>
            <w:r>
              <w:rPr>
                <w:rFonts w:ascii="Lato Bold;sans-serif" w:hAnsi="Lato Bold;sans-serif"/>
                <w:b/>
                <w:color w:val="000000"/>
                <w:sz w:val="22"/>
              </w:rPr>
              <w:t>Strategy &amp; Transformation</w:t>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6" w:type="dxa"/>
            <w:gridSpan w:val="6"/>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695575" cy="180975"/>
                  <wp:effectExtent l="0" t="0" r="0" b="0"/>
                  <wp:docPr id="188"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53" descr=""/>
                          <pic:cNvPicPr>
                            <a:picLocks noChangeAspect="1" noChangeArrowheads="1"/>
                          </pic:cNvPicPr>
                        </pic:nvPicPr>
                        <pic:blipFill>
                          <a:blip r:embed="rId154"/>
                          <a:stretch>
                            <a:fillRect/>
                          </a:stretch>
                        </pic:blipFill>
                        <pic:spPr bwMode="auto">
                          <a:xfrm>
                            <a:off x="0" y="0"/>
                            <a:ext cx="2695575" cy="180975"/>
                          </a:xfrm>
                          <a:prstGeom prst="rect">
                            <a:avLst/>
                          </a:prstGeom>
                        </pic:spPr>
                      </pic:pic>
                    </a:graphicData>
                  </a:graphic>
                </wp:inline>
              </w:drawing>
            </w:r>
          </w:p>
        </w:tc>
        <w:tc>
          <w:tcPr>
            <w:tcW w:w="76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13/13</w:t>
            </w:r>
          </w:p>
        </w:tc>
      </w:tr>
    </w:tbl>
    <w:p>
      <w:pPr>
        <w:pStyle w:val="TextBody"/>
        <w:bidi w:val="0"/>
        <w:spacing w:before="0" w:after="0"/>
        <w:jc w:val="left"/>
        <w:rPr/>
      </w:pPr>
      <w:r>
        <w:rPr/>
      </w:r>
    </w:p>
    <w:tbl>
      <w:tblPr>
        <w:tblW w:w="5170" w:type="dxa"/>
        <w:jc w:val="left"/>
        <w:tblInd w:w="0" w:type="dxa"/>
        <w:tblLayout w:type="fixed"/>
        <w:tblCellMar>
          <w:top w:w="28" w:type="dxa"/>
          <w:left w:w="28" w:type="dxa"/>
          <w:bottom w:w="28" w:type="dxa"/>
          <w:right w:w="28" w:type="dxa"/>
        </w:tblCellMar>
      </w:tblPr>
      <w:tblGrid>
        <w:gridCol w:w="388"/>
        <w:gridCol w:w="341"/>
        <w:gridCol w:w="343"/>
        <w:gridCol w:w="1110"/>
        <w:gridCol w:w="1110"/>
        <w:gridCol w:w="1114"/>
        <w:gridCol w:w="223"/>
        <w:gridCol w:w="223"/>
        <w:gridCol w:w="318"/>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57175" cy="247650"/>
                  <wp:effectExtent l="0" t="0" r="0" b="0"/>
                  <wp:docPr id="189"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54" descr=""/>
                          <pic:cNvPicPr>
                            <a:picLocks noChangeAspect="1" noChangeArrowheads="1"/>
                          </pic:cNvPicPr>
                        </pic:nvPicPr>
                        <pic:blipFill>
                          <a:blip r:embed="rId155"/>
                          <a:stretch>
                            <a:fillRect/>
                          </a:stretch>
                        </pic:blipFill>
                        <pic:spPr bwMode="auto">
                          <a:xfrm>
                            <a:off x="0" y="0"/>
                            <a:ext cx="257175" cy="247650"/>
                          </a:xfrm>
                          <a:prstGeom prst="rect">
                            <a:avLst/>
                          </a:prstGeom>
                        </pic:spPr>
                      </pic:pic>
                    </a:graphicData>
                  </a:graphic>
                </wp:inline>
              </w:drawing>
            </w:r>
            <w:r>
              <w:rPr>
                <w:color w:val="000000"/>
              </w:rPr>
              <w:t> </w:t>
            </w:r>
          </w:p>
        </w:tc>
        <w:tc>
          <w:tcPr>
            <w:tcW w:w="3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22"/>
              </w:rPr>
            </w:pPr>
            <w:r>
              <w:rPr>
                <w:rFonts w:ascii="Lato Bold;sans-serif" w:hAnsi="Lato Bold;sans-serif"/>
                <w:b/>
                <w:color w:val="000000"/>
                <w:sz w:val="22"/>
              </w:rPr>
              <w:t>International</w:t>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6"/>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695575" cy="180975"/>
                  <wp:effectExtent l="0" t="0" r="0" b="0"/>
                  <wp:docPr id="190"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55" descr=""/>
                          <pic:cNvPicPr>
                            <a:picLocks noChangeAspect="1" noChangeArrowheads="1"/>
                          </pic:cNvPicPr>
                        </pic:nvPicPr>
                        <pic:blipFill>
                          <a:blip r:embed="rId156"/>
                          <a:stretch>
                            <a:fillRect/>
                          </a:stretch>
                        </pic:blipFill>
                        <pic:spPr bwMode="auto">
                          <a:xfrm>
                            <a:off x="0" y="0"/>
                            <a:ext cx="2695575" cy="180975"/>
                          </a:xfrm>
                          <a:prstGeom prst="rect">
                            <a:avLst/>
                          </a:prstGeom>
                        </pic:spPr>
                      </pic:pic>
                    </a:graphicData>
                  </a:graphic>
                </wp:inline>
              </w:drawing>
            </w:r>
            <w:r>
              <w:rPr>
                <w:color w:val="000000"/>
              </w:rPr>
              <w:t> </w:t>
            </w:r>
          </w:p>
        </w:tc>
        <w:tc>
          <w:tcPr>
            <w:tcW w:w="76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11/13</w:t>
            </w:r>
          </w:p>
        </w:tc>
      </w:tr>
    </w:tbl>
    <w:tbl>
      <w:tblPr>
        <w:tblW w:w="5036" w:type="dxa"/>
        <w:jc w:val="left"/>
        <w:tblInd w:w="0" w:type="dxa"/>
        <w:tblLayout w:type="fixed"/>
        <w:tblCellMar>
          <w:top w:w="28" w:type="dxa"/>
          <w:left w:w="28" w:type="dxa"/>
          <w:bottom w:w="28" w:type="dxa"/>
          <w:right w:w="28" w:type="dxa"/>
        </w:tblCellMar>
      </w:tblPr>
      <w:tblGrid>
        <w:gridCol w:w="380"/>
        <w:gridCol w:w="333"/>
        <w:gridCol w:w="338"/>
        <w:gridCol w:w="1116"/>
        <w:gridCol w:w="1116"/>
        <w:gridCol w:w="1123"/>
        <w:gridCol w:w="184"/>
        <w:gridCol w:w="184"/>
        <w:gridCol w:w="262"/>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00025" cy="247650"/>
                  <wp:effectExtent l="0" t="0" r="0" b="0"/>
                  <wp:docPr id="191"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56" descr=""/>
                          <pic:cNvPicPr>
                            <a:picLocks noChangeAspect="1" noChangeArrowheads="1"/>
                          </pic:cNvPicPr>
                        </pic:nvPicPr>
                        <pic:blipFill>
                          <a:blip r:embed="rId157"/>
                          <a:stretch>
                            <a:fillRect/>
                          </a:stretch>
                        </pic:blipFill>
                        <pic:spPr bwMode="auto">
                          <a:xfrm>
                            <a:off x="0" y="0"/>
                            <a:ext cx="200025" cy="247650"/>
                          </a:xfrm>
                          <a:prstGeom prst="rect">
                            <a:avLst/>
                          </a:prstGeom>
                        </pic:spPr>
                      </pic:pic>
                    </a:graphicData>
                  </a:graphic>
                </wp:inline>
              </w:drawing>
            </w:r>
            <w:r>
              <w:rPr>
                <w:color w:val="000000"/>
              </w:rPr>
              <w:t> </w:t>
            </w:r>
          </w:p>
        </w:tc>
        <w:tc>
          <w:tcPr>
            <w:tcW w:w="3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22"/>
              </w:rPr>
            </w:pPr>
            <w:r>
              <w:rPr>
                <w:rFonts w:ascii="Lato Bold;sans-serif" w:hAnsi="Lato Bold;sans-serif"/>
                <w:b/>
                <w:color w:val="000000"/>
                <w:sz w:val="22"/>
              </w:rPr>
              <w:t>CEO Leadership</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6"/>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695575" cy="180975"/>
                  <wp:effectExtent l="0" t="0" r="0" b="0"/>
                  <wp:docPr id="192"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57" descr=""/>
                          <pic:cNvPicPr>
                            <a:picLocks noChangeAspect="1" noChangeArrowheads="1"/>
                          </pic:cNvPicPr>
                        </pic:nvPicPr>
                        <pic:blipFill>
                          <a:blip r:embed="rId158"/>
                          <a:stretch>
                            <a:fillRect/>
                          </a:stretch>
                        </pic:blipFill>
                        <pic:spPr bwMode="auto">
                          <a:xfrm>
                            <a:off x="0" y="0"/>
                            <a:ext cx="2695575" cy="180975"/>
                          </a:xfrm>
                          <a:prstGeom prst="rect">
                            <a:avLst/>
                          </a:prstGeom>
                        </pic:spPr>
                      </pic:pic>
                    </a:graphicData>
                  </a:graphic>
                </wp:inline>
              </w:drawing>
            </w:r>
            <w:r>
              <w:rPr>
                <w:color w:val="000000"/>
              </w:rPr>
              <w:t> </w:t>
            </w:r>
          </w:p>
        </w:tc>
        <w:tc>
          <w:tcPr>
            <w:tcW w:w="6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8/13</w:t>
            </w:r>
          </w:p>
        </w:tc>
      </w:tr>
    </w:tbl>
    <w:p>
      <w:pPr>
        <w:pStyle w:val="TextBody"/>
        <w:bidi w:val="0"/>
        <w:spacing w:before="0" w:after="0"/>
        <w:jc w:val="left"/>
        <w:rPr/>
      </w:pPr>
      <w:r>
        <w:rPr/>
      </w:r>
    </w:p>
    <w:tbl>
      <w:tblPr>
        <w:tblW w:w="5170" w:type="dxa"/>
        <w:jc w:val="left"/>
        <w:tblInd w:w="0" w:type="dxa"/>
        <w:tblLayout w:type="fixed"/>
        <w:tblCellMar>
          <w:top w:w="28" w:type="dxa"/>
          <w:left w:w="28" w:type="dxa"/>
          <w:bottom w:w="28" w:type="dxa"/>
          <w:right w:w="28" w:type="dxa"/>
        </w:tblCellMar>
      </w:tblPr>
      <w:tblGrid>
        <w:gridCol w:w="460"/>
        <w:gridCol w:w="404"/>
        <w:gridCol w:w="406"/>
        <w:gridCol w:w="1044"/>
        <w:gridCol w:w="1044"/>
        <w:gridCol w:w="1048"/>
        <w:gridCol w:w="223"/>
        <w:gridCol w:w="223"/>
        <w:gridCol w:w="318"/>
      </w:tblGrid>
      <w:tr>
        <w:trPr/>
        <w:tc>
          <w:tcPr>
            <w:tcW w:w="4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57175" cy="257175"/>
                  <wp:effectExtent l="0" t="0" r="0" b="0"/>
                  <wp:docPr id="193"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58" descr=""/>
                          <pic:cNvPicPr>
                            <a:picLocks noChangeAspect="1" noChangeArrowheads="1"/>
                          </pic:cNvPicPr>
                        </pic:nvPicPr>
                        <pic:blipFill>
                          <a:blip r:embed="rId159"/>
                          <a:stretch>
                            <a:fillRect/>
                          </a:stretch>
                        </pic:blipFill>
                        <pic:spPr bwMode="auto">
                          <a:xfrm>
                            <a:off x="0" y="0"/>
                            <a:ext cx="257175" cy="257175"/>
                          </a:xfrm>
                          <a:prstGeom prst="rect">
                            <a:avLst/>
                          </a:prstGeom>
                        </pic:spPr>
                      </pic:pic>
                    </a:graphicData>
                  </a:graphic>
                </wp:inline>
              </w:drawing>
            </w:r>
            <w:r>
              <w:rPr>
                <w:color w:val="000000"/>
              </w:rPr>
              <w:t> </w:t>
            </w:r>
          </w:p>
        </w:tc>
        <w:tc>
          <w:tcPr>
            <w:tcW w:w="3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22"/>
              </w:rPr>
            </w:pPr>
            <w:r>
              <w:rPr>
                <w:rFonts w:ascii="Lato Bold;sans-serif" w:hAnsi="Lato Bold;sans-serif"/>
                <w:b/>
                <w:color w:val="000000"/>
                <w:sz w:val="22"/>
              </w:rPr>
              <w:t>Marketing</w:t>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6"/>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695575" cy="180975"/>
                  <wp:effectExtent l="0" t="0" r="0" b="0"/>
                  <wp:docPr id="194"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59" descr=""/>
                          <pic:cNvPicPr>
                            <a:picLocks noChangeAspect="1" noChangeArrowheads="1"/>
                          </pic:cNvPicPr>
                        </pic:nvPicPr>
                        <pic:blipFill>
                          <a:blip r:embed="rId160"/>
                          <a:stretch>
                            <a:fillRect/>
                          </a:stretch>
                        </pic:blipFill>
                        <pic:spPr bwMode="auto">
                          <a:xfrm>
                            <a:off x="0" y="0"/>
                            <a:ext cx="2695575" cy="180975"/>
                          </a:xfrm>
                          <a:prstGeom prst="rect">
                            <a:avLst/>
                          </a:prstGeom>
                        </pic:spPr>
                      </pic:pic>
                    </a:graphicData>
                  </a:graphic>
                </wp:inline>
              </w:drawing>
            </w:r>
            <w:r>
              <w:rPr>
                <w:color w:val="000000"/>
              </w:rPr>
              <w:t> </w:t>
            </w:r>
          </w:p>
        </w:tc>
        <w:tc>
          <w:tcPr>
            <w:tcW w:w="76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11/13</w:t>
            </w:r>
          </w:p>
        </w:tc>
      </w:tr>
    </w:tbl>
    <w:tbl>
      <w:tblPr>
        <w:tblW w:w="5036" w:type="dxa"/>
        <w:jc w:val="left"/>
        <w:tblInd w:w="0" w:type="dxa"/>
        <w:tblLayout w:type="fixed"/>
        <w:tblCellMar>
          <w:top w:w="28" w:type="dxa"/>
          <w:left w:w="28" w:type="dxa"/>
          <w:bottom w:w="28" w:type="dxa"/>
          <w:right w:w="28" w:type="dxa"/>
        </w:tblCellMar>
      </w:tblPr>
      <w:tblGrid>
        <w:gridCol w:w="372"/>
        <w:gridCol w:w="326"/>
        <w:gridCol w:w="328"/>
        <w:gridCol w:w="1125"/>
        <w:gridCol w:w="1125"/>
        <w:gridCol w:w="1130"/>
        <w:gridCol w:w="184"/>
        <w:gridCol w:w="184"/>
        <w:gridCol w:w="262"/>
      </w:tblGrid>
      <w:tr>
        <w:trPr/>
        <w:tc>
          <w:tcPr>
            <w:tcW w:w="3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57175" cy="257175"/>
                  <wp:effectExtent l="0" t="0" r="0" b="0"/>
                  <wp:docPr id="195"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60" descr=""/>
                          <pic:cNvPicPr>
                            <a:picLocks noChangeAspect="1" noChangeArrowheads="1"/>
                          </pic:cNvPicPr>
                        </pic:nvPicPr>
                        <pic:blipFill>
                          <a:blip r:embed="rId161"/>
                          <a:stretch>
                            <a:fillRect/>
                          </a:stretch>
                        </pic:blipFill>
                        <pic:spPr bwMode="auto">
                          <a:xfrm>
                            <a:off x="0" y="0"/>
                            <a:ext cx="257175" cy="257175"/>
                          </a:xfrm>
                          <a:prstGeom prst="rect">
                            <a:avLst/>
                          </a:prstGeom>
                        </pic:spPr>
                      </pic:pic>
                    </a:graphicData>
                  </a:graphic>
                </wp:inline>
              </w:drawing>
            </w:r>
            <w:r>
              <w:rPr>
                <w:color w:val="000000"/>
              </w:rPr>
              <w:t> </w:t>
            </w:r>
          </w:p>
        </w:tc>
        <w:tc>
          <w:tcPr>
            <w:tcW w:w="3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22"/>
              </w:rPr>
            </w:pPr>
            <w:r>
              <w:rPr>
                <w:rFonts w:ascii="Lato Bold;sans-serif" w:hAnsi="Lato Bold;sans-serif"/>
                <w:b/>
                <w:color w:val="000000"/>
                <w:sz w:val="22"/>
              </w:rPr>
              <w:t>Cybersecurity</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6"/>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695575" cy="180975"/>
                  <wp:effectExtent l="0" t="0" r="0" b="0"/>
                  <wp:docPr id="196"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61" descr=""/>
                          <pic:cNvPicPr>
                            <a:picLocks noChangeAspect="1" noChangeArrowheads="1"/>
                          </pic:cNvPicPr>
                        </pic:nvPicPr>
                        <pic:blipFill>
                          <a:blip r:embed="rId162"/>
                          <a:stretch>
                            <a:fillRect/>
                          </a:stretch>
                        </pic:blipFill>
                        <pic:spPr bwMode="auto">
                          <a:xfrm>
                            <a:off x="0" y="0"/>
                            <a:ext cx="2695575" cy="180975"/>
                          </a:xfrm>
                          <a:prstGeom prst="rect">
                            <a:avLst/>
                          </a:prstGeom>
                        </pic:spPr>
                      </pic:pic>
                    </a:graphicData>
                  </a:graphic>
                </wp:inline>
              </w:drawing>
            </w:r>
            <w:r>
              <w:rPr>
                <w:color w:val="000000"/>
              </w:rPr>
              <w:t> </w:t>
            </w:r>
          </w:p>
        </w:tc>
        <w:tc>
          <w:tcPr>
            <w:tcW w:w="6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4/13</w:t>
            </w:r>
          </w:p>
        </w:tc>
      </w:tr>
    </w:tbl>
    <w:p>
      <w:pPr>
        <w:pStyle w:val="TextBody"/>
        <w:bidi w:val="0"/>
        <w:spacing w:before="0" w:after="0"/>
        <w:jc w:val="left"/>
        <w:rPr/>
      </w:pPr>
      <w:r>
        <w:rPr/>
      </w:r>
    </w:p>
    <w:tbl>
      <w:tblPr>
        <w:tblW w:w="5170" w:type="dxa"/>
        <w:jc w:val="left"/>
        <w:tblInd w:w="0" w:type="dxa"/>
        <w:tblLayout w:type="fixed"/>
        <w:tblCellMar>
          <w:top w:w="28" w:type="dxa"/>
          <w:left w:w="28" w:type="dxa"/>
          <w:bottom w:w="28" w:type="dxa"/>
          <w:right w:w="28" w:type="dxa"/>
        </w:tblCellMar>
      </w:tblPr>
      <w:tblGrid>
        <w:gridCol w:w="848"/>
        <w:gridCol w:w="742"/>
        <w:gridCol w:w="750"/>
        <w:gridCol w:w="687"/>
        <w:gridCol w:w="687"/>
        <w:gridCol w:w="692"/>
        <w:gridCol w:w="223"/>
        <w:gridCol w:w="223"/>
        <w:gridCol w:w="318"/>
      </w:tblGrid>
      <w:tr>
        <w:trPr/>
        <w:tc>
          <w:tcPr>
            <w:tcW w:w="8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76225" cy="190500"/>
                  <wp:effectExtent l="0" t="0" r="0" b="0"/>
                  <wp:docPr id="197"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62" descr=""/>
                          <pic:cNvPicPr>
                            <a:picLocks noChangeAspect="1" noChangeArrowheads="1"/>
                          </pic:cNvPicPr>
                        </pic:nvPicPr>
                        <pic:blipFill>
                          <a:blip r:embed="rId163"/>
                          <a:stretch>
                            <a:fillRect/>
                          </a:stretch>
                        </pic:blipFill>
                        <pic:spPr bwMode="auto">
                          <a:xfrm>
                            <a:off x="0" y="0"/>
                            <a:ext cx="276225" cy="190500"/>
                          </a:xfrm>
                          <a:prstGeom prst="rect">
                            <a:avLst/>
                          </a:prstGeom>
                        </pic:spPr>
                      </pic:pic>
                    </a:graphicData>
                  </a:graphic>
                </wp:inline>
              </w:drawing>
            </w:r>
            <w:r>
              <w:rPr>
                <w:color w:val="000000"/>
              </w:rPr>
              <w:t> </w:t>
            </w:r>
          </w:p>
        </w:tc>
        <w:tc>
          <w:tcPr>
            <w:tcW w:w="2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22"/>
              </w:rPr>
            </w:pPr>
            <w:r>
              <w:rPr>
                <w:rFonts w:ascii="Lato Bold;sans-serif" w:hAnsi="Lato Bold;sans-serif"/>
                <w:b/>
                <w:color w:val="000000"/>
                <w:sz w:val="22"/>
              </w:rPr>
              <w:t>M&amp;A</w:t>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6"/>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695575" cy="180975"/>
                  <wp:effectExtent l="0" t="0" r="0" b="0"/>
                  <wp:docPr id="198"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63" descr=""/>
                          <pic:cNvPicPr>
                            <a:picLocks noChangeAspect="1" noChangeArrowheads="1"/>
                          </pic:cNvPicPr>
                        </pic:nvPicPr>
                        <pic:blipFill>
                          <a:blip r:embed="rId164"/>
                          <a:stretch>
                            <a:fillRect/>
                          </a:stretch>
                        </pic:blipFill>
                        <pic:spPr bwMode="auto">
                          <a:xfrm>
                            <a:off x="0" y="0"/>
                            <a:ext cx="2695575" cy="180975"/>
                          </a:xfrm>
                          <a:prstGeom prst="rect">
                            <a:avLst/>
                          </a:prstGeom>
                        </pic:spPr>
                      </pic:pic>
                    </a:graphicData>
                  </a:graphic>
                </wp:inline>
              </w:drawing>
            </w:r>
            <w:r>
              <w:rPr>
                <w:color w:val="000000"/>
              </w:rPr>
              <w:t> </w:t>
            </w:r>
          </w:p>
        </w:tc>
        <w:tc>
          <w:tcPr>
            <w:tcW w:w="76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11/13</w:t>
            </w:r>
          </w:p>
        </w:tc>
      </w:tr>
    </w:tbl>
    <w:tbl>
      <w:tblPr>
        <w:tblW w:w="5170" w:type="dxa"/>
        <w:jc w:val="left"/>
        <w:tblInd w:w="0" w:type="dxa"/>
        <w:tblLayout w:type="fixed"/>
        <w:tblCellMar>
          <w:top w:w="28" w:type="dxa"/>
          <w:left w:w="28" w:type="dxa"/>
          <w:bottom w:w="28" w:type="dxa"/>
          <w:right w:w="28" w:type="dxa"/>
        </w:tblCellMar>
      </w:tblPr>
      <w:tblGrid>
        <w:gridCol w:w="548"/>
        <w:gridCol w:w="481"/>
        <w:gridCol w:w="486"/>
        <w:gridCol w:w="962"/>
        <w:gridCol w:w="962"/>
        <w:gridCol w:w="967"/>
        <w:gridCol w:w="223"/>
        <w:gridCol w:w="223"/>
        <w:gridCol w:w="318"/>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276225" cy="228600"/>
                  <wp:effectExtent l="0" t="0" r="0" b="0"/>
                  <wp:docPr id="199"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64" descr=""/>
                          <pic:cNvPicPr>
                            <a:picLocks noChangeAspect="1" noChangeArrowheads="1"/>
                          </pic:cNvPicPr>
                        </pic:nvPicPr>
                        <pic:blipFill>
                          <a:blip r:embed="rId165"/>
                          <a:stretch>
                            <a:fillRect/>
                          </a:stretch>
                        </pic:blipFill>
                        <pic:spPr bwMode="auto">
                          <a:xfrm>
                            <a:off x="0" y="0"/>
                            <a:ext cx="276225" cy="228600"/>
                          </a:xfrm>
                          <a:prstGeom prst="rect">
                            <a:avLst/>
                          </a:prstGeom>
                        </pic:spPr>
                      </pic:pic>
                    </a:graphicData>
                  </a:graphic>
                </wp:inline>
              </w:drawing>
            </w:r>
          </w:p>
        </w:tc>
        <w:tc>
          <w:tcPr>
            <w:tcW w:w="28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22"/>
              </w:rPr>
            </w:pPr>
            <w:r>
              <w:rPr>
                <w:rFonts w:ascii="Lato Bold;sans-serif" w:hAnsi="Lato Bold;sans-serif"/>
                <w:b/>
                <w:color w:val="000000"/>
                <w:sz w:val="22"/>
              </w:rPr>
              <w:t>Human Capital</w:t>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6" w:type="dxa"/>
            <w:gridSpan w:val="6"/>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695575" cy="180975"/>
                  <wp:effectExtent l="0" t="0" r="0" b="0"/>
                  <wp:docPr id="200"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65" descr=""/>
                          <pic:cNvPicPr>
                            <a:picLocks noChangeAspect="1" noChangeArrowheads="1"/>
                          </pic:cNvPicPr>
                        </pic:nvPicPr>
                        <pic:blipFill>
                          <a:blip r:embed="rId166"/>
                          <a:stretch>
                            <a:fillRect/>
                          </a:stretch>
                        </pic:blipFill>
                        <pic:spPr bwMode="auto">
                          <a:xfrm>
                            <a:off x="0" y="0"/>
                            <a:ext cx="2695575" cy="180975"/>
                          </a:xfrm>
                          <a:prstGeom prst="rect">
                            <a:avLst/>
                          </a:prstGeom>
                        </pic:spPr>
                      </pic:pic>
                    </a:graphicData>
                  </a:graphic>
                </wp:inline>
              </w:drawing>
            </w:r>
            <w:r>
              <w:rPr>
                <w:color w:val="000000"/>
              </w:rPr>
              <w:t> </w:t>
            </w:r>
          </w:p>
        </w:tc>
        <w:tc>
          <w:tcPr>
            <w:tcW w:w="76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13/13</w:t>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As noted above, the Nominating and Corporate Governance Committee believes that diversity of backgrounds and viewpoints is a valuable attribute to include in the boardroom. The Committee has not established a formal policy regarding diversity.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629920"/>
                <wp:effectExtent l="0" t="0" r="0" b="0"/>
                <wp:wrapNone/>
                <wp:docPr id="201" name="Frame3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30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30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188"/>
        <w:gridCol w:w="166"/>
        <w:gridCol w:w="167"/>
        <w:gridCol w:w="733"/>
        <w:gridCol w:w="733"/>
        <w:gridCol w:w="103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02"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66" descr=""/>
                          <pic:cNvPicPr>
                            <a:picLocks noChangeAspect="1" noChangeArrowheads="1"/>
                          </pic:cNvPicPr>
                        </pic:nvPicPr>
                        <pic:blipFill>
                          <a:blip r:embed="rId167"/>
                          <a:stretch>
                            <a:fillRect/>
                          </a:stretch>
                        </pic:blipFill>
                        <pic:spPr bwMode="auto">
                          <a:xfrm>
                            <a:off x="0" y="0"/>
                            <a:ext cx="228600" cy="180975"/>
                          </a:xfrm>
                          <a:prstGeom prst="rect">
                            <a:avLst/>
                          </a:prstGeom>
                        </pic:spPr>
                      </pic:pic>
                    </a:graphicData>
                  </a:graphic>
                </wp:inline>
              </w:drawing>
            </w: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Proposal 1: Election of directors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The Nominees</w:t>
      </w:r>
    </w:p>
    <w:tbl>
      <w:tblPr>
        <w:tblW w:w="10205" w:type="dxa"/>
        <w:jc w:val="left"/>
        <w:tblInd w:w="0" w:type="dxa"/>
        <w:tblLayout w:type="fixed"/>
        <w:tblCellMar>
          <w:top w:w="28" w:type="dxa"/>
          <w:left w:w="28" w:type="dxa"/>
          <w:bottom w:w="28" w:type="dxa"/>
          <w:right w:w="28" w:type="dxa"/>
        </w:tblCellMar>
      </w:tblPr>
      <w:tblGrid>
        <w:gridCol w:w="658"/>
        <w:gridCol w:w="578"/>
        <w:gridCol w:w="579"/>
        <w:gridCol w:w="2457"/>
        <w:gridCol w:w="2457"/>
        <w:gridCol w:w="3476"/>
      </w:tblGrid>
      <w:tr>
        <w:trPr/>
        <w:tc>
          <w:tcPr>
            <w:tcW w:w="65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76"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0" w:type="dxa"/>
            <w:gridSpan w:val="3"/>
            <w:tcBorders>
              <w:top w:val="single" w:sz="16" w:space="0" w:color="0046C8"/>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42975" cy="942975"/>
                  <wp:effectExtent l="0" t="0" r="0" b="0"/>
                  <wp:docPr id="203"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67" descr=""/>
                          <pic:cNvPicPr>
                            <a:picLocks noChangeAspect="1" noChangeArrowheads="1"/>
                          </pic:cNvPicPr>
                        </pic:nvPicPr>
                        <pic:blipFill>
                          <a:blip r:embed="rId168"/>
                          <a:stretch>
                            <a:fillRect/>
                          </a:stretch>
                        </pic:blipFill>
                        <pic:spPr bwMode="auto">
                          <a:xfrm>
                            <a:off x="0" y="0"/>
                            <a:ext cx="942975" cy="942975"/>
                          </a:xfrm>
                          <a:prstGeom prst="rect">
                            <a:avLst/>
                          </a:prstGeom>
                        </pic:spPr>
                      </pic:pic>
                    </a:graphicData>
                  </a:graphic>
                </wp:inline>
              </w:drawing>
            </w:r>
          </w:p>
          <w:p>
            <w:pPr>
              <w:pStyle w:val="TableContents"/>
              <w:bidi w:val="0"/>
              <w:spacing w:lineRule="auto" w:line="312" w:before="0" w:after="80"/>
              <w:jc w:val="left"/>
              <w:rPr>
                <w:rFonts w:ascii="Lato Bold;sans-serif" w:hAnsi="Lato Bold;sans-serif"/>
                <w:b/>
                <w:color w:val="000000"/>
                <w:sz w:val="23"/>
              </w:rPr>
            </w:pPr>
            <w:r>
              <w:rPr>
                <w:rFonts w:ascii="Lato Bold;sans-serif" w:hAnsi="Lato Bold;sans-serif"/>
                <w:b/>
                <w:color w:val="000000"/>
                <w:sz w:val="23"/>
              </w:rPr>
              <w:t>Sylvia M.</w:t>
              <w:br/>
              <w:t>Burwell, 59</w:t>
            </w:r>
          </w:p>
          <w:p>
            <w:pPr>
              <w:pStyle w:val="TableContents"/>
              <w:bidi w:val="0"/>
              <w:spacing w:lineRule="auto" w:line="312" w:before="80" w:after="283"/>
              <w:jc w:val="left"/>
              <w:rPr>
                <w:rFonts w:ascii="Lato;sans-serif" w:hAnsi="Lato;sans-serif"/>
                <w:b w:val="false"/>
                <w:color w:val="000000"/>
                <w:sz w:val="16"/>
              </w:rPr>
            </w:pPr>
            <w:r>
              <w:rPr>
                <w:rFonts w:ascii="Lato;sans-serif" w:hAnsi="Lato;sans-serif"/>
                <w:b w:val="false"/>
                <w:color w:val="000000"/>
                <w:sz w:val="16"/>
              </w:rPr>
              <w:t>Former President,</w:t>
              <w:br/>
              <w:t>American University</w:t>
            </w:r>
          </w:p>
          <w:p>
            <w:pPr>
              <w:pStyle w:val="TableContents"/>
              <w:bidi w:val="0"/>
              <w:spacing w:lineRule="auto" w:line="312" w:before="200" w:after="283"/>
              <w:jc w:val="left"/>
              <w:rPr>
                <w:rFonts w:ascii="Lato Bold;sans-serif" w:hAnsi="Lato Bold;sans-serif"/>
                <w:b/>
                <w:color w:val="000000"/>
                <w:sz w:val="16"/>
              </w:rPr>
            </w:pPr>
            <w:r>
              <w:rPr>
                <w:rFonts w:ascii="Lato Bold;sans-serif" w:hAnsi="Lato Bold;sans-serif"/>
                <w:b/>
                <w:color w:val="000000"/>
                <w:sz w:val="16"/>
              </w:rPr>
              <w:t>Director since:</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2022</w:t>
            </w:r>
          </w:p>
        </w:tc>
        <w:tc>
          <w:tcPr>
            <w:tcW w:w="8390" w:type="dxa"/>
            <w:gridSpan w:val="3"/>
            <w:tcBorders>
              <w:left w:val="single" w:sz="4" w:space="0" w:color="B3B3B3"/>
            </w:tcBorders>
            <w:tcMar>
              <w:top w:w="0" w:type="dxa"/>
              <w:bottom w:w="0" w:type="dxa"/>
              <w:right w:w="0" w:type="dxa"/>
            </w:tcMar>
            <w:vAlign w:val="center"/>
          </w:tcPr>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Senior Professorial Lecturer in the American University School of Public Affairs and Distinguished Fellow in Residence at the Sine Institute for Policy and Politics, since July 2024.</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President of American University, a private research university located in Washington, D.C., from 2017 to 2024.</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Served as 22nd U.S. Secretary of Health and Human Services from 2014 to 2017.</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Managed a $1 trillion department with oversight for the National Institutes of Health, Centers for Disease Control and Prevention, Food and Drug Administration, and the Medicaid and Medicare programs.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Served as director of the White House Office of Management and Budget from 2013 to 2014.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Prior to 2013, President of Walmart’s charitable foundation focused on ending hunger, and also held senior roles at the Bill and Melinda Gates Foundation, leading a program focused on combating world poverty through agricultural development, financial services for the poor, and global libraries.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Currently serves on the Board of GuideWell Mutual Holding Corporation, a privately held mutual insurance company.</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0"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Other public company boards served on since 2020: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None.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Experience highlights:</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Ms. Burwell has been determined by our Board to qualify as an “audit committee financial expert” under the SEC’s rules and regulations, has leadership experience as a senior executive officer, has experience with social responsibility from her senior roles at major charitable foundations, has public policy and public health expertise from her senior government roles, including her service as the U.S. Secretary of Health and Human Services, has international experience, and provides diversity of background and viewpoint from her academic and government background.</w:t>
            </w:r>
          </w:p>
        </w:tc>
      </w:tr>
      <w:tr>
        <w:trPr/>
        <w:tc>
          <w:tcPr>
            <w:tcW w:w="1815"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90"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629920"/>
                <wp:effectExtent l="0" t="0" r="0" b="0"/>
                <wp:wrapNone/>
                <wp:docPr id="204" name="Frame3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31</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895"/>
        <w:gridCol w:w="788"/>
        <w:gridCol w:w="791"/>
        <w:gridCol w:w="161"/>
        <w:gridCol w:w="161"/>
        <w:gridCol w:w="22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Proposal 1: Election of directors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0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68" descr=""/>
                          <pic:cNvPicPr>
                            <a:picLocks noChangeAspect="1" noChangeArrowheads="1"/>
                          </pic:cNvPicPr>
                        </pic:nvPicPr>
                        <pic:blipFill>
                          <a:blip r:embed="rId169"/>
                          <a:stretch>
                            <a:fillRect/>
                          </a:stretch>
                        </pic:blipFill>
                        <pic:spPr bwMode="auto">
                          <a:xfrm>
                            <a:off x="0" y="0"/>
                            <a:ext cx="228600" cy="180975"/>
                          </a:xfrm>
                          <a:prstGeom prst="rect">
                            <a:avLst/>
                          </a:prstGeom>
                        </pic:spPr>
                      </pic:pic>
                    </a:graphicData>
                  </a:graphic>
                </wp:inline>
              </w:drawing>
            </w:r>
            <w:r>
              <w:rPr>
                <w:color w:val="000000"/>
              </w:rPr>
              <w:t> </w:t>
            </w:r>
          </w:p>
        </w:tc>
      </w:tr>
      <w:tr>
        <w:trPr/>
        <w:tc>
          <w:tcPr>
            <w:tcW w:w="24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8"/>
        <w:gridCol w:w="771"/>
        <w:gridCol w:w="773"/>
        <w:gridCol w:w="2275"/>
        <w:gridCol w:w="2275"/>
        <w:gridCol w:w="3233"/>
      </w:tblGrid>
      <w:tr>
        <w:trPr/>
        <w:tc>
          <w:tcPr>
            <w:tcW w:w="87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op w:val="single" w:sz="16" w:space="0" w:color="0046C8"/>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942975" cy="942975"/>
                  <wp:effectExtent l="0" t="0" r="0" b="0"/>
                  <wp:docPr id="20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69" descr=""/>
                          <pic:cNvPicPr>
                            <a:picLocks noChangeAspect="1" noChangeArrowheads="1"/>
                          </pic:cNvPicPr>
                        </pic:nvPicPr>
                        <pic:blipFill>
                          <a:blip r:embed="rId170"/>
                          <a:stretch>
                            <a:fillRect/>
                          </a:stretch>
                        </pic:blipFill>
                        <pic:spPr bwMode="auto">
                          <a:xfrm>
                            <a:off x="0" y="0"/>
                            <a:ext cx="942975" cy="942975"/>
                          </a:xfrm>
                          <a:prstGeom prst="rect">
                            <a:avLst/>
                          </a:prstGeom>
                        </pic:spPr>
                      </pic:pic>
                    </a:graphicData>
                  </a:graphic>
                </wp:inline>
              </w:drawing>
            </w:r>
          </w:p>
          <w:p>
            <w:pPr>
              <w:pStyle w:val="TableContents"/>
              <w:bidi w:val="0"/>
              <w:spacing w:lineRule="auto" w:line="312" w:before="0" w:after="80"/>
              <w:jc w:val="left"/>
              <w:rPr>
                <w:rFonts w:ascii="Lato Bold;sans-serif" w:hAnsi="Lato Bold;sans-serif"/>
                <w:b/>
                <w:color w:val="000000"/>
                <w:sz w:val="23"/>
              </w:rPr>
            </w:pPr>
            <w:r>
              <w:rPr>
                <w:rFonts w:ascii="Lato Bold;sans-serif" w:hAnsi="Lato Bold;sans-serif"/>
                <w:b/>
                <w:color w:val="000000"/>
                <w:sz w:val="23"/>
              </w:rPr>
              <w:t>John W. Culver, 64</w:t>
            </w:r>
          </w:p>
          <w:p>
            <w:pPr>
              <w:pStyle w:val="TableContents"/>
              <w:bidi w:val="0"/>
              <w:spacing w:lineRule="auto" w:line="312" w:before="80" w:after="80"/>
              <w:jc w:val="left"/>
              <w:rPr>
                <w:rFonts w:ascii="Lato;sans-serif" w:hAnsi="Lato;sans-serif"/>
                <w:b w:val="false"/>
                <w:color w:val="000000"/>
                <w:sz w:val="16"/>
              </w:rPr>
            </w:pPr>
            <w:r>
              <w:rPr>
                <w:rFonts w:ascii="Lato;sans-serif" w:hAnsi="Lato;sans-serif"/>
                <w:b w:val="false"/>
                <w:color w:val="000000"/>
                <w:sz w:val="16"/>
              </w:rPr>
              <w:t>Former Group President, North America and Chief Operating Officer, Starbucks Corporation</w:t>
            </w:r>
          </w:p>
          <w:p>
            <w:pPr>
              <w:pStyle w:val="TableContents"/>
              <w:bidi w:val="0"/>
              <w:spacing w:lineRule="auto" w:line="312" w:before="200" w:after="283"/>
              <w:jc w:val="left"/>
              <w:rPr>
                <w:rFonts w:ascii="Lato Bold;sans-serif" w:hAnsi="Lato Bold;sans-serif"/>
                <w:b/>
                <w:color w:val="000000"/>
                <w:sz w:val="16"/>
              </w:rPr>
            </w:pPr>
            <w:r>
              <w:rPr>
                <w:rFonts w:ascii="Lato Bold;sans-serif" w:hAnsi="Lato Bold;sans-serif"/>
                <w:b/>
                <w:color w:val="000000"/>
                <w:sz w:val="16"/>
              </w:rPr>
              <w:t>Director since:</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2020</w:t>
            </w:r>
          </w:p>
        </w:tc>
        <w:tc>
          <w:tcPr>
            <w:tcW w:w="7783" w:type="dxa"/>
            <w:gridSpan w:val="3"/>
            <w:tcBorders>
              <w:left w:val="single" w:sz="4" w:space="0" w:color="B3B3B3"/>
            </w:tcBorders>
            <w:tcMar>
              <w:top w:w="0" w:type="dxa"/>
              <w:bottom w:w="0" w:type="dxa"/>
              <w:right w:w="0" w:type="dxa"/>
            </w:tcMar>
            <w:vAlign w:val="center"/>
          </w:tcPr>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Group President, North America and Chief Operating Officer of Starbucks Corporation from 2021 to 2022.</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Prior leadership roles at Starbucks include Group President, International, Channel Development and Global Coffee &amp; Tea from 2018 to 2021; Group President, International and Channels from 2017 to 2018; Group President, Starbucks Global Retail from 2016 to 2017; Group President, China, Asia Pacific, Channel Development and Emerging Brands from 2013 to 2016; President, Starbucks Coffee China and Asia Pacific from 2011 to 2013; and President, Starbucks Coffee International from 2009 to 2011.</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Currently serves as a director of The Mission Continues.</w:t>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Other public company boards served on since 2020: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Columbia Sportswear Company (since January 2021).</w:t>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Experience highlights:</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Mr. Culver satisfies the financial literacy requirements of the NYSE, has leadership experience as a senior executive, has knowledge about our industries, has human capital experience and experience developing a positive corporate culture from his leadership roles at Starbucks, has digital marketing, e-commerce, information technology and cybersecurity expertise, has international experience, and experience with branded consumer goods.</w:t>
            </w:r>
          </w:p>
        </w:tc>
      </w:tr>
      <w:tr>
        <w:trPr/>
        <w:tc>
          <w:tcPr>
            <w:tcW w:w="2422"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83"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629920"/>
                <wp:effectExtent l="0" t="0" r="0" b="0"/>
                <wp:wrapNone/>
                <wp:docPr id="207" name="Frame3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32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32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188"/>
        <w:gridCol w:w="166"/>
        <w:gridCol w:w="167"/>
        <w:gridCol w:w="733"/>
        <w:gridCol w:w="733"/>
        <w:gridCol w:w="103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08"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70" descr=""/>
                          <pic:cNvPicPr>
                            <a:picLocks noChangeAspect="1" noChangeArrowheads="1"/>
                          </pic:cNvPicPr>
                        </pic:nvPicPr>
                        <pic:blipFill>
                          <a:blip r:embed="rId171"/>
                          <a:stretch>
                            <a:fillRect/>
                          </a:stretch>
                        </pic:blipFill>
                        <pic:spPr bwMode="auto">
                          <a:xfrm>
                            <a:off x="0" y="0"/>
                            <a:ext cx="228600" cy="180975"/>
                          </a:xfrm>
                          <a:prstGeom prst="rect">
                            <a:avLst/>
                          </a:prstGeom>
                        </pic:spPr>
                      </pic:pic>
                    </a:graphicData>
                  </a:graphic>
                </wp:inline>
              </w:drawing>
            </w: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Proposal 1: Election of directors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00"/>
        <w:gridCol w:w="702"/>
        <w:gridCol w:w="704"/>
        <w:gridCol w:w="2342"/>
        <w:gridCol w:w="2342"/>
        <w:gridCol w:w="3315"/>
      </w:tblGrid>
      <w:tr>
        <w:trPr/>
        <w:tc>
          <w:tcPr>
            <w:tcW w:w="8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3315" w:type="dxa"/>
            <w:tcBorders/>
            <w:vAlign w:val="center"/>
          </w:tcPr>
          <w:p>
            <w:pPr>
              <w:pStyle w:val="TableContents"/>
              <w:bidi w:val="0"/>
              <w:spacing w:before="0" w:after="283"/>
              <w:jc w:val="left"/>
              <w:rPr>
                <w:sz w:val="4"/>
                <w:szCs w:val="4"/>
              </w:rPr>
            </w:pPr>
            <w:r>
              <w:rPr>
                <w:sz w:val="4"/>
                <w:szCs w:val="4"/>
              </w:rPr>
            </w:r>
          </w:p>
        </w:tc>
      </w:tr>
      <w:tr>
        <w:trPr/>
        <w:tc>
          <w:tcPr>
            <w:tcW w:w="2206"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op w:val="single" w:sz="16" w:space="0" w:color="0046C8"/>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942975" cy="942975"/>
                  <wp:effectExtent l="0" t="0" r="0" b="0"/>
                  <wp:docPr id="209"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71" descr=""/>
                          <pic:cNvPicPr>
                            <a:picLocks noChangeAspect="1" noChangeArrowheads="1"/>
                          </pic:cNvPicPr>
                        </pic:nvPicPr>
                        <pic:blipFill>
                          <a:blip r:embed="rId172"/>
                          <a:stretch>
                            <a:fillRect/>
                          </a:stretch>
                        </pic:blipFill>
                        <pic:spPr bwMode="auto">
                          <a:xfrm>
                            <a:off x="0" y="0"/>
                            <a:ext cx="942975" cy="942975"/>
                          </a:xfrm>
                          <a:prstGeom prst="rect">
                            <a:avLst/>
                          </a:prstGeom>
                        </pic:spPr>
                      </pic:pic>
                    </a:graphicData>
                  </a:graphic>
                </wp:inline>
              </w:drawing>
            </w:r>
          </w:p>
          <w:p>
            <w:pPr>
              <w:pStyle w:val="TableContents"/>
              <w:bidi w:val="0"/>
              <w:spacing w:lineRule="auto" w:line="312" w:before="0" w:after="80"/>
              <w:jc w:val="left"/>
              <w:rPr>
                <w:rFonts w:ascii="Lato Bold;sans-serif" w:hAnsi="Lato Bold;sans-serif"/>
                <w:b/>
                <w:color w:val="000000"/>
                <w:sz w:val="23"/>
              </w:rPr>
            </w:pPr>
            <w:r>
              <w:rPr>
                <w:rFonts w:ascii="Lato Bold;sans-serif" w:hAnsi="Lato Bold;sans-serif"/>
                <w:b/>
                <w:color w:val="000000"/>
                <w:sz w:val="23"/>
              </w:rPr>
              <w:t>Michael D. Hsu, 60</w:t>
            </w:r>
          </w:p>
          <w:p>
            <w:pPr>
              <w:pStyle w:val="TableContents"/>
              <w:bidi w:val="0"/>
              <w:spacing w:lineRule="auto" w:line="312" w:before="80" w:after="120"/>
              <w:jc w:val="left"/>
              <w:rPr>
                <w:rFonts w:ascii="Lato;sans-serif" w:hAnsi="Lato;sans-serif"/>
                <w:b w:val="false"/>
                <w:color w:val="000000"/>
                <w:sz w:val="16"/>
              </w:rPr>
            </w:pPr>
            <w:r>
              <w:rPr>
                <w:rFonts w:ascii="Lato;sans-serif" w:hAnsi="Lato;sans-serif"/>
                <w:b w:val="false"/>
                <w:color w:val="000000"/>
                <w:sz w:val="16"/>
              </w:rPr>
              <w:t>Chairman of the Board and CEO, Kimberly-Clark Corporation</w:t>
            </w:r>
          </w:p>
          <w:p>
            <w:pPr>
              <w:pStyle w:val="TableContents"/>
              <w:bidi w:val="0"/>
              <w:spacing w:lineRule="auto" w:line="312" w:before="200" w:after="283"/>
              <w:jc w:val="left"/>
              <w:rPr>
                <w:rFonts w:ascii="Lato Bold;sans-serif" w:hAnsi="Lato Bold;sans-serif"/>
                <w:b/>
                <w:color w:val="000000"/>
                <w:sz w:val="16"/>
              </w:rPr>
            </w:pPr>
            <w:r>
              <w:rPr>
                <w:rFonts w:ascii="Lato Bold;sans-serif" w:hAnsi="Lato Bold;sans-serif"/>
                <w:b/>
                <w:color w:val="000000"/>
                <w:sz w:val="16"/>
              </w:rPr>
              <w:t>Director since:</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2017</w:t>
            </w:r>
          </w:p>
        </w:tc>
        <w:tc>
          <w:tcPr>
            <w:tcW w:w="7999" w:type="dxa"/>
            <w:gridSpan w:val="3"/>
            <w:tcBorders>
              <w:left w:val="single" w:sz="4" w:space="0" w:color="B3B3B3"/>
            </w:tcBorders>
            <w:tcMar>
              <w:top w:w="0" w:type="dxa"/>
              <w:bottom w:w="0" w:type="dxa"/>
              <w:right w:w="0" w:type="dxa"/>
            </w:tcMar>
            <w:vAlign w:val="center"/>
          </w:tcPr>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Chairman of the Board since 2020 and Chief Executive Officer since 2019.</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Served as President and Chief Operating Officer from 2017 to 2019.</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Responsible for the day-to-day operations of our business units, along with our global innovation, marketing and supply chain functions.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Served as Group President, K-C North America from 2013 to 2016</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Responsible for our consumer business in North America, as well as leading the development of new business strategies for global nonwovens.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Served as Group President, North America Consumer Products from 2012 to 2013.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Prior to joining Kimberly-Clark, served as Executive Vice President and Chief Commercial Officer of Kraft Foods, Inc., from January 2012 to July 2012, as President of Sales, Customer Marketing and Logistics from 2010 to 2012 and as President of its grocery business unit from 2008 to 2010. Prior to that, Mr. Hsu served as President and Chief Operating Officer, Foodservice at H. J. Heinz Company.</w:t>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Other public company boards served on since 2020: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McDonald’s Corporation (since May 2024); Texas Instruments Incorporated (through April 2023).</w:t>
            </w:r>
          </w:p>
        </w:tc>
      </w:tr>
      <w:tr>
        <w:trPr/>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Experience highlights:</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Mr. Hsu satisfies the financial literacy requirements of the NYSE, has leadership experience as a chief executive officer, provides diversity of background and viewpoint, has knowledge about our industries, has international experience and experience with branded consumer packaged goods, and has digital and marketing experience.</w:t>
            </w:r>
          </w:p>
        </w:tc>
      </w:tr>
      <w:tr>
        <w:trPr/>
        <w:tc>
          <w:tcPr>
            <w:tcW w:w="2206"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629920"/>
                <wp:effectExtent l="0" t="0" r="0" b="0"/>
                <wp:wrapNone/>
                <wp:docPr id="210" name="Frame3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33</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895"/>
        <w:gridCol w:w="788"/>
        <w:gridCol w:w="791"/>
        <w:gridCol w:w="161"/>
        <w:gridCol w:w="161"/>
        <w:gridCol w:w="22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Proposal 1: Election of directors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11"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72" descr=""/>
                          <pic:cNvPicPr>
                            <a:picLocks noChangeAspect="1" noChangeArrowheads="1"/>
                          </pic:cNvPicPr>
                        </pic:nvPicPr>
                        <pic:blipFill>
                          <a:blip r:embed="rId173"/>
                          <a:stretch>
                            <a:fillRect/>
                          </a:stretch>
                        </pic:blipFill>
                        <pic:spPr bwMode="auto">
                          <a:xfrm>
                            <a:off x="0" y="0"/>
                            <a:ext cx="228600" cy="180975"/>
                          </a:xfrm>
                          <a:prstGeom prst="rect">
                            <a:avLst/>
                          </a:prstGeom>
                        </pic:spPr>
                      </pic:pic>
                    </a:graphicData>
                  </a:graphic>
                </wp:inline>
              </w:drawing>
            </w:r>
            <w:r>
              <w:rPr>
                <w:color w:val="000000"/>
              </w:rPr>
              <w:t> </w:t>
            </w:r>
          </w:p>
        </w:tc>
      </w:tr>
      <w:tr>
        <w:trPr/>
        <w:tc>
          <w:tcPr>
            <w:tcW w:w="24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7"/>
        <w:gridCol w:w="629"/>
        <w:gridCol w:w="631"/>
        <w:gridCol w:w="2409"/>
        <w:gridCol w:w="2409"/>
        <w:gridCol w:w="3410"/>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op w:val="single" w:sz="16" w:space="0" w:color="0046C8"/>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942975" cy="942975"/>
                  <wp:effectExtent l="0" t="0" r="0" b="0"/>
                  <wp:docPr id="212"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73" descr=""/>
                          <pic:cNvPicPr>
                            <a:picLocks noChangeAspect="1" noChangeArrowheads="1"/>
                          </pic:cNvPicPr>
                        </pic:nvPicPr>
                        <pic:blipFill>
                          <a:blip r:embed="rId174"/>
                          <a:stretch>
                            <a:fillRect/>
                          </a:stretch>
                        </pic:blipFill>
                        <pic:spPr bwMode="auto">
                          <a:xfrm>
                            <a:off x="0" y="0"/>
                            <a:ext cx="942975" cy="942975"/>
                          </a:xfrm>
                          <a:prstGeom prst="rect">
                            <a:avLst/>
                          </a:prstGeom>
                        </pic:spPr>
                      </pic:pic>
                    </a:graphicData>
                  </a:graphic>
                </wp:inline>
              </w:drawing>
            </w:r>
          </w:p>
          <w:p>
            <w:pPr>
              <w:pStyle w:val="TableContents"/>
              <w:bidi w:val="0"/>
              <w:spacing w:lineRule="auto" w:line="312" w:before="0" w:after="80"/>
              <w:jc w:val="left"/>
              <w:rPr>
                <w:rFonts w:ascii="Lato Bold;sans-serif" w:hAnsi="Lato Bold;sans-serif"/>
                <w:b/>
                <w:color w:val="000000"/>
                <w:sz w:val="23"/>
              </w:rPr>
            </w:pPr>
            <w:r>
              <w:rPr>
                <w:rFonts w:ascii="Lato Bold;sans-serif" w:hAnsi="Lato Bold;sans-serif"/>
                <w:b/>
                <w:color w:val="000000"/>
                <w:sz w:val="23"/>
              </w:rPr>
              <w:t>Mae C. Jemison, M.D., 68</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President, The Jemison Group, Inc.</w:t>
            </w:r>
          </w:p>
          <w:p>
            <w:pPr>
              <w:pStyle w:val="TableContents"/>
              <w:bidi w:val="0"/>
              <w:spacing w:lineRule="auto" w:line="312" w:before="200" w:after="283"/>
              <w:jc w:val="left"/>
              <w:rPr>
                <w:rFonts w:ascii="Lato Bold;sans-serif" w:hAnsi="Lato Bold;sans-serif"/>
                <w:b/>
                <w:color w:val="000000"/>
                <w:sz w:val="16"/>
              </w:rPr>
            </w:pPr>
            <w:r>
              <w:rPr>
                <w:rFonts w:ascii="Lato Bold;sans-serif" w:hAnsi="Lato Bold;sans-serif"/>
                <w:b/>
                <w:color w:val="000000"/>
                <w:sz w:val="16"/>
              </w:rPr>
              <w:t>Director since:</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2002</w:t>
            </w:r>
          </w:p>
        </w:tc>
        <w:tc>
          <w:tcPr>
            <w:tcW w:w="8228" w:type="dxa"/>
            <w:gridSpan w:val="3"/>
            <w:tcBorders>
              <w:left w:val="single" w:sz="4" w:space="0" w:color="B3B3B3"/>
            </w:tcBorders>
            <w:tcMar>
              <w:top w:w="0" w:type="dxa"/>
              <w:bottom w:w="0" w:type="dxa"/>
              <w:right w:w="0" w:type="dxa"/>
            </w:tcMar>
            <w:vAlign w:val="center"/>
          </w:tcPr>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Founder and President of The Jemison Group, Inc., a science, technology, and innovation consulting company.</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Principal for the 100 Year Starship Project, an initiative started through competitive seed funding from DARPA that fosters science, technological, and human systems breakthroughs and innovations by seeking to ensure that the capability required for human space travel to another star exists within 100 years.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Founded the Dorothy Jemison Foundation for Excellence and developed The Earth We Share international science camp and STEM programs.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Member of faculty of EnMed Texas A&amp;M School of Engineering Medicine.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Professor of Environmental Studies at Dartmouth College from 1995 to 2002 and is currently an adjunct professor at Dartmouth’s medical school.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National Aeronautics and Space Administration (NASA) astronaut from 1987 to 1993.</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Member of the National Academy of Medicine and serves on its governance council. Serves as Chair of the NASA Innovative Advanced Concepts (NAC) External Advisory Council, is a member of the USTPO Council for Inclusive Innovation, serves on the executive advisory board of Breakthrough Starshot and serves on the Board of the African Museum of Science and Technology (Kenya).</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Founding chair of the State of Texas Product Development and Small Business Incubator Board and was a member of the Advisory Board of the National Institute of Health for Biomedical Imaging and Bioengineering.</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Other public company boards served on since 2020: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None.</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Experience highlights:</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Dr. Jemison satisfies the financial literacy requirements of the NYSE, has expertise in scientific research and innovation through founding and leading technology focused businesses and organizations including a medical device company and a space technology design and development initiative, has experience with social responsibility through her role as a professor of Environmental Studies at Dartmouth college and continued work in the field, has international experience and leadership experience of entrepreneurial start-up enterprises and non-profit organizations, provides diversity of background and viewpoint, and has compensation, governance, and public company board experience.</w:t>
            </w:r>
          </w:p>
        </w:tc>
      </w:tr>
      <w:tr>
        <w:trPr/>
        <w:tc>
          <w:tcPr>
            <w:tcW w:w="1977"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629920"/>
                <wp:effectExtent l="0" t="0" r="0" b="0"/>
                <wp:wrapNone/>
                <wp:docPr id="213" name="Frame4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34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34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188"/>
        <w:gridCol w:w="166"/>
        <w:gridCol w:w="167"/>
        <w:gridCol w:w="733"/>
        <w:gridCol w:w="733"/>
        <w:gridCol w:w="103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1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74" descr=""/>
                          <pic:cNvPicPr>
                            <a:picLocks noChangeAspect="1" noChangeArrowheads="1"/>
                          </pic:cNvPicPr>
                        </pic:nvPicPr>
                        <pic:blipFill>
                          <a:blip r:embed="rId175"/>
                          <a:stretch>
                            <a:fillRect/>
                          </a:stretch>
                        </pic:blipFill>
                        <pic:spPr bwMode="auto">
                          <a:xfrm>
                            <a:off x="0" y="0"/>
                            <a:ext cx="228600" cy="180975"/>
                          </a:xfrm>
                          <a:prstGeom prst="rect">
                            <a:avLst/>
                          </a:prstGeom>
                        </pic:spPr>
                      </pic:pic>
                    </a:graphicData>
                  </a:graphic>
                </wp:inline>
              </w:drawing>
            </w: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Proposal 1: Election of directors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9"/>
        <w:gridCol w:w="781"/>
        <w:gridCol w:w="782"/>
        <w:gridCol w:w="2266"/>
        <w:gridCol w:w="2266"/>
        <w:gridCol w:w="3221"/>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3" w:type="dxa"/>
            <w:gridSpan w:val="3"/>
            <w:tcBorders>
              <w:top w:val="single" w:sz="16" w:space="0" w:color="0046C8"/>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942975" cy="942975"/>
                  <wp:effectExtent l="0" t="0" r="0" b="0"/>
                  <wp:docPr id="21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75" descr=""/>
                          <pic:cNvPicPr>
                            <a:picLocks noChangeAspect="1" noChangeArrowheads="1"/>
                          </pic:cNvPicPr>
                        </pic:nvPicPr>
                        <pic:blipFill>
                          <a:blip r:embed="rId176"/>
                          <a:stretch>
                            <a:fillRect/>
                          </a:stretch>
                        </pic:blipFill>
                        <pic:spPr bwMode="auto">
                          <a:xfrm>
                            <a:off x="0" y="0"/>
                            <a:ext cx="942975" cy="942975"/>
                          </a:xfrm>
                          <a:prstGeom prst="rect">
                            <a:avLst/>
                          </a:prstGeom>
                        </pic:spPr>
                      </pic:pic>
                    </a:graphicData>
                  </a:graphic>
                </wp:inline>
              </w:drawing>
            </w:r>
          </w:p>
          <w:p>
            <w:pPr>
              <w:pStyle w:val="TableContents"/>
              <w:bidi w:val="0"/>
              <w:spacing w:lineRule="auto" w:line="312" w:before="0" w:after="80"/>
              <w:jc w:val="left"/>
              <w:rPr>
                <w:rFonts w:ascii="Lato Bold;sans-serif" w:hAnsi="Lato Bold;sans-serif"/>
                <w:b/>
                <w:color w:val="000000"/>
                <w:sz w:val="23"/>
              </w:rPr>
            </w:pPr>
            <w:r>
              <w:rPr>
                <w:rFonts w:ascii="Lato Bold;sans-serif" w:hAnsi="Lato Bold;sans-serif"/>
                <w:b/>
                <w:color w:val="000000"/>
                <w:sz w:val="23"/>
              </w:rPr>
              <w:t>Deeptha Khanna, 49</w:t>
            </w:r>
          </w:p>
          <w:p>
            <w:pPr>
              <w:pStyle w:val="TableContents"/>
              <w:bidi w:val="0"/>
              <w:spacing w:lineRule="auto" w:line="312" w:before="80" w:after="120"/>
              <w:jc w:val="left"/>
              <w:rPr>
                <w:rFonts w:ascii="Lato;sans-serif" w:hAnsi="Lato;sans-serif"/>
                <w:b w:val="false"/>
                <w:color w:val="000000"/>
                <w:sz w:val="16"/>
              </w:rPr>
            </w:pPr>
            <w:r>
              <w:rPr>
                <w:rFonts w:ascii="Lato;sans-serif" w:hAnsi="Lato;sans-serif"/>
                <w:b w:val="false"/>
                <w:color w:val="000000"/>
                <w:sz w:val="16"/>
              </w:rPr>
              <w:t>EVP and Chief Business Leader, Personal Health, Royal Philips</w:t>
            </w:r>
          </w:p>
          <w:p>
            <w:pPr>
              <w:pStyle w:val="TableContents"/>
              <w:bidi w:val="0"/>
              <w:spacing w:lineRule="auto" w:line="312" w:before="200" w:after="283"/>
              <w:jc w:val="left"/>
              <w:rPr>
                <w:rFonts w:ascii="Lato Bold;sans-serif" w:hAnsi="Lato Bold;sans-serif"/>
                <w:b/>
                <w:color w:val="000000"/>
                <w:sz w:val="16"/>
              </w:rPr>
            </w:pPr>
            <w:r>
              <w:rPr>
                <w:rFonts w:ascii="Lato Bold;sans-serif" w:hAnsi="Lato Bold;sans-serif"/>
                <w:b/>
                <w:color w:val="000000"/>
                <w:sz w:val="16"/>
              </w:rPr>
              <w:t>Director since:</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2023</w:t>
            </w:r>
          </w:p>
        </w:tc>
        <w:tc>
          <w:tcPr>
            <w:tcW w:w="7753" w:type="dxa"/>
            <w:gridSpan w:val="3"/>
            <w:tcBorders>
              <w:left w:val="single" w:sz="4" w:space="0" w:color="B3B3B3"/>
            </w:tcBorders>
            <w:tcMar>
              <w:top w:w="0" w:type="dxa"/>
              <w:bottom w:w="0" w:type="dxa"/>
              <w:right w:w="0" w:type="dxa"/>
            </w:tcMar>
            <w:vAlign w:val="center"/>
          </w:tcPr>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Executive Vice President and Chief Business Leader, Personal Health, of Royal Philips, a health technology company, since 2020, while also serving on the company’s Executive Committee.</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Held positions of increasing responsibility at Johnson &amp; Johnson, including Global President, Skin Health and Office of Marketing Value, from 2019 to 2020; Global President, Baby Care, from 2017 to 2019; and Vice President, Baby Care, Asia Pacific and Global Emerging Markets, from 2015 to 2017.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Held positions of increasing responsibility at Procter &amp; Gamble from 1998 to 2015.</w:t>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3"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Other public company boards served on since 2020: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None.</w:t>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Experience highlights:</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Ms. Khanna satisfies the financial literacy requirements of the NYSE, has leadership experience as a senior executive, has international experience and experience with branded consumer goods, has experience with mergers and acquisitions, has social responsibility and health sector experience, and has marketing, digital marketing, and e-commerce experience.</w:t>
            </w:r>
          </w:p>
        </w:tc>
      </w:tr>
      <w:tr>
        <w:trPr/>
        <w:tc>
          <w:tcPr>
            <w:tcW w:w="2452"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53"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629920"/>
                <wp:effectExtent l="0" t="0" r="0" b="0"/>
                <wp:wrapNone/>
                <wp:docPr id="216" name="Frame4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35</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895"/>
        <w:gridCol w:w="788"/>
        <w:gridCol w:w="791"/>
        <w:gridCol w:w="161"/>
        <w:gridCol w:w="161"/>
        <w:gridCol w:w="22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Proposal 1: Election of directors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17"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76" descr=""/>
                          <pic:cNvPicPr>
                            <a:picLocks noChangeAspect="1" noChangeArrowheads="1"/>
                          </pic:cNvPicPr>
                        </pic:nvPicPr>
                        <pic:blipFill>
                          <a:blip r:embed="rId177"/>
                          <a:stretch>
                            <a:fillRect/>
                          </a:stretch>
                        </pic:blipFill>
                        <pic:spPr bwMode="auto">
                          <a:xfrm>
                            <a:off x="0" y="0"/>
                            <a:ext cx="228600" cy="180975"/>
                          </a:xfrm>
                          <a:prstGeom prst="rect">
                            <a:avLst/>
                          </a:prstGeom>
                        </pic:spPr>
                      </pic:pic>
                    </a:graphicData>
                  </a:graphic>
                </wp:inline>
              </w:drawing>
            </w:r>
            <w:r>
              <w:rPr>
                <w:color w:val="000000"/>
              </w:rPr>
              <w:t> </w:t>
            </w:r>
          </w:p>
        </w:tc>
      </w:tr>
      <w:tr>
        <w:trPr/>
        <w:tc>
          <w:tcPr>
            <w:tcW w:w="24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3"/>
        <w:gridCol w:w="749"/>
        <w:gridCol w:w="750"/>
        <w:gridCol w:w="2296"/>
        <w:gridCol w:w="2296"/>
        <w:gridCol w:w="3261"/>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2352"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3" w:type="dxa"/>
            <w:gridSpan w:val="3"/>
            <w:tcBorders>
              <w:top w:val="single" w:sz="16" w:space="0" w:color="0046C8"/>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942975" cy="942975"/>
                  <wp:effectExtent l="0" t="0" r="0" b="0"/>
                  <wp:docPr id="218"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77" descr=""/>
                          <pic:cNvPicPr>
                            <a:picLocks noChangeAspect="1" noChangeArrowheads="1"/>
                          </pic:cNvPicPr>
                        </pic:nvPicPr>
                        <pic:blipFill>
                          <a:blip r:embed="rId178"/>
                          <a:stretch>
                            <a:fillRect/>
                          </a:stretch>
                        </pic:blipFill>
                        <pic:spPr bwMode="auto">
                          <a:xfrm>
                            <a:off x="0" y="0"/>
                            <a:ext cx="942975" cy="942975"/>
                          </a:xfrm>
                          <a:prstGeom prst="rect">
                            <a:avLst/>
                          </a:prstGeom>
                        </pic:spPr>
                      </pic:pic>
                    </a:graphicData>
                  </a:graphic>
                </wp:inline>
              </w:drawing>
            </w:r>
          </w:p>
          <w:p>
            <w:pPr>
              <w:pStyle w:val="TableContents"/>
              <w:bidi w:val="0"/>
              <w:spacing w:lineRule="auto" w:line="312" w:before="0" w:after="80"/>
              <w:jc w:val="left"/>
              <w:rPr>
                <w:rFonts w:ascii="Lato Bold;sans-serif" w:hAnsi="Lato Bold;sans-serif"/>
                <w:b/>
                <w:color w:val="000000"/>
                <w:sz w:val="23"/>
              </w:rPr>
            </w:pPr>
            <w:r>
              <w:rPr>
                <w:rFonts w:ascii="Lato Bold;sans-serif" w:hAnsi="Lato Bold;sans-serif"/>
                <w:b/>
                <w:color w:val="000000"/>
                <w:sz w:val="23"/>
              </w:rPr>
              <w:t>S. Todd Maclin, 68</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Retired Chairman, Chase Commercial and Consumer Banking, JPMorgan Chase &amp; Co.</w:t>
            </w:r>
          </w:p>
          <w:p>
            <w:pPr>
              <w:pStyle w:val="TableContents"/>
              <w:bidi w:val="0"/>
              <w:spacing w:lineRule="auto" w:line="312" w:before="200" w:after="283"/>
              <w:jc w:val="left"/>
              <w:rPr>
                <w:rFonts w:ascii="Lato Bold;sans-serif" w:hAnsi="Lato Bold;sans-serif"/>
                <w:b/>
                <w:color w:val="000000"/>
                <w:sz w:val="16"/>
              </w:rPr>
            </w:pPr>
            <w:r>
              <w:rPr>
                <w:rFonts w:ascii="Lato Bold;sans-serif" w:hAnsi="Lato Bold;sans-serif"/>
                <w:b/>
                <w:color w:val="000000"/>
                <w:sz w:val="16"/>
              </w:rPr>
              <w:t>Director since:</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2019</w:t>
            </w:r>
          </w:p>
        </w:tc>
        <w:tc>
          <w:tcPr>
            <w:tcW w:w="7853" w:type="dxa"/>
            <w:gridSpan w:val="3"/>
            <w:tcBorders>
              <w:left w:val="single" w:sz="4" w:space="0" w:color="B3B3B3"/>
            </w:tcBorders>
            <w:tcMar>
              <w:top w:w="0" w:type="dxa"/>
              <w:bottom w:w="0" w:type="dxa"/>
              <w:right w:w="0" w:type="dxa"/>
            </w:tcMar>
            <w:vAlign w:val="center"/>
          </w:tcPr>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Retired in 2016 from a 37-year career at JPMorgan Chase &amp; Co., and its predecessor banks, where he rose to Chairman, Chase Commercial and Consumer Banking in 2013, while also serving on the company's Operating Committee.</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Held a variety of leadership roles, including Regional Executive for Texas and the Southwest U.S., and Global Executive for Energy Investment Banking.</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Serves as a director of The University of Texas Development Board, as a member of the Advisory Council for McCombs Graduate School of Business, on the Executive Committee of The University of Texas Chancellor's Council, on the Board of Visitors of UT Southwestern Health System, on the Steering Committee for the O'Donnell Brain Institute for UT Southwestern, and on the Board of Southwestern Medical Foundation.</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Lifetime member of The University of Texas Ex-Students' Alumni Association (Texas Exes). He has served on the Texas Exes’ Board of Directors, as its Interim Co-Executive Director during 2017, and served as President of Texas Exes for the term of June 2019-2020. He is also a lifetime member of the UT President's Associates. In 2017, Mr. Maclin was inducted into the UT McCombs Texas Business Hall of Fame. In 2024, he was named a Distinguished Alumnus of The University of Texas at Austin.</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Serves on the Board of Directors of RRH Corporation, the parent company of Hunt Consolidated, Inc.; on the Board of Directors of Arvest Banking Corporation, a private bank; as Board advisor for Cyber Defense Labs; as a member of the Center for Strategic International Studies (CSIS) Advisory Board and co-Chair of its CSIS Dallas Roundtable; and as a Member of Everside Capital Partners Senior Advisory Committee.</w:t>
            </w:r>
          </w:p>
        </w:tc>
      </w:tr>
      <w:tr>
        <w:trPr/>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3"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Other public company boards served on since 2020: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Trinity Industries, Inc.</w:t>
            </w:r>
          </w:p>
        </w:tc>
      </w:tr>
      <w:tr>
        <w:trPr/>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Experience highlights:</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Mr. Maclin satisfies the financial literacy requirements of the NYSE and has a banking and finance background, has leadership experience as a senior executive, has information technology and cybersecurity expertise through his roles at JPMorgan Chase, and provides diversity of background and viewpoint.</w:t>
            </w:r>
          </w:p>
        </w:tc>
      </w:tr>
      <w:tr>
        <w:trPr/>
        <w:tc>
          <w:tcPr>
            <w:tcW w:w="2352"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3"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629920"/>
                <wp:effectExtent l="0" t="0" r="0" b="0"/>
                <wp:wrapNone/>
                <wp:docPr id="219" name="Frame4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36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36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188"/>
        <w:gridCol w:w="166"/>
        <w:gridCol w:w="167"/>
        <w:gridCol w:w="733"/>
        <w:gridCol w:w="733"/>
        <w:gridCol w:w="103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20"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78" descr=""/>
                          <pic:cNvPicPr>
                            <a:picLocks noChangeAspect="1" noChangeArrowheads="1"/>
                          </pic:cNvPicPr>
                        </pic:nvPicPr>
                        <pic:blipFill>
                          <a:blip r:embed="rId179"/>
                          <a:stretch>
                            <a:fillRect/>
                          </a:stretch>
                        </pic:blipFill>
                        <pic:spPr bwMode="auto">
                          <a:xfrm>
                            <a:off x="0" y="0"/>
                            <a:ext cx="228600" cy="180975"/>
                          </a:xfrm>
                          <a:prstGeom prst="rect">
                            <a:avLst/>
                          </a:prstGeom>
                        </pic:spPr>
                      </pic:pic>
                    </a:graphicData>
                  </a:graphic>
                </wp:inline>
              </w:drawing>
            </w: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Proposal 1: Election of directors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1"/>
        <w:gridCol w:w="896"/>
        <w:gridCol w:w="898"/>
        <w:gridCol w:w="2164"/>
        <w:gridCol w:w="2164"/>
        <w:gridCol w:w="3062"/>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r>
      <w:tr>
        <w:trPr/>
        <w:tc>
          <w:tcPr>
            <w:tcW w:w="2815"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0" w:type="dxa"/>
            <w:gridSpan w:val="3"/>
            <w:tcBorders>
              <w:top w:val="single" w:sz="16" w:space="0" w:color="0046C8"/>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942975" cy="942975"/>
                  <wp:effectExtent l="0" t="0" r="0" b="0"/>
                  <wp:docPr id="221"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79" descr=""/>
                          <pic:cNvPicPr>
                            <a:picLocks noChangeAspect="1" noChangeArrowheads="1"/>
                          </pic:cNvPicPr>
                        </pic:nvPicPr>
                        <pic:blipFill>
                          <a:blip r:embed="rId180"/>
                          <a:stretch>
                            <a:fillRect/>
                          </a:stretch>
                        </pic:blipFill>
                        <pic:spPr bwMode="auto">
                          <a:xfrm>
                            <a:off x="0" y="0"/>
                            <a:ext cx="942975" cy="942975"/>
                          </a:xfrm>
                          <a:prstGeom prst="rect">
                            <a:avLst/>
                          </a:prstGeom>
                        </pic:spPr>
                      </pic:pic>
                    </a:graphicData>
                  </a:graphic>
                </wp:inline>
              </w:drawing>
            </w:r>
          </w:p>
          <w:p>
            <w:pPr>
              <w:pStyle w:val="TableContents"/>
              <w:bidi w:val="0"/>
              <w:spacing w:lineRule="auto" w:line="312" w:before="0" w:after="80"/>
              <w:jc w:val="left"/>
              <w:rPr>
                <w:rFonts w:ascii="Lato Bold;sans-serif" w:hAnsi="Lato Bold;sans-serif"/>
                <w:b/>
                <w:color w:val="000000"/>
                <w:sz w:val="23"/>
              </w:rPr>
            </w:pPr>
            <w:r>
              <w:rPr>
                <w:rFonts w:ascii="Lato Bold;sans-serif" w:hAnsi="Lato Bold;sans-serif"/>
                <w:b/>
                <w:color w:val="000000"/>
                <w:sz w:val="23"/>
              </w:rPr>
              <w:t>Deirdre A. Mahlan, 62</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Former President, CEO and Chairperson of The Duckhorn Portfolio, Inc.</w:t>
            </w:r>
          </w:p>
          <w:p>
            <w:pPr>
              <w:pStyle w:val="TableContents"/>
              <w:bidi w:val="0"/>
              <w:spacing w:lineRule="auto" w:line="312" w:before="200" w:after="283"/>
              <w:jc w:val="left"/>
              <w:rPr>
                <w:rFonts w:ascii="Lato Bold;sans-serif" w:hAnsi="Lato Bold;sans-serif"/>
                <w:b/>
                <w:color w:val="000000"/>
                <w:sz w:val="16"/>
              </w:rPr>
            </w:pPr>
            <w:r>
              <w:rPr>
                <w:rFonts w:ascii="Lato Bold;sans-serif" w:hAnsi="Lato Bold;sans-serif"/>
                <w:b/>
                <w:color w:val="000000"/>
                <w:sz w:val="16"/>
              </w:rPr>
              <w:t>Director since:</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2021</w:t>
            </w:r>
          </w:p>
        </w:tc>
        <w:tc>
          <w:tcPr>
            <w:tcW w:w="7390" w:type="dxa"/>
            <w:gridSpan w:val="3"/>
            <w:tcBorders>
              <w:left w:val="single" w:sz="4" w:space="0" w:color="B3B3B3"/>
            </w:tcBorders>
            <w:tcMar>
              <w:top w:w="0" w:type="dxa"/>
              <w:bottom w:w="0" w:type="dxa"/>
              <w:right w:w="0" w:type="dxa"/>
            </w:tcMar>
            <w:vAlign w:val="center"/>
          </w:tcPr>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President, Chief Executive Officer and Chairperson of The Duckhorn Portfolio, Inc., a luxury wine company, from April 2024 to December 2024.</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Interim President, Chief Executive Officer and Chairperson from September 2023 to April 2024.</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Had a 19-year career at Diageo plc, a leading beverage alcohol company, where she rose to President of Diageo North America and oversaw Diageo’s U.S. and Canadian spirits and beer businesses from 2015 to 2020.</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Served as Chief Financial Officer of Diageo plc from 2010 to 2015. Prior to that, she served in a number of leadership roles, including Deputy Financial Officer and Head of Tax and Treasury.</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Began her career at PricewaterhouseCoopers, where she gained experience in audit across multiple diversified global companies.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Is a certified public accountant.</w:t>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0"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Other public company boards served on since 2020: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The Duckhorn Portfolio, Inc. (through December 2024) and Haleon plc (through September 2024).</w:t>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Experience highlights:</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Ms. Mahlan has been determined by our Board to qualify as an “audit committee financial expert” under the SEC’s rules and regulations and has an accounting and finance background, has leadership experience as a senior executive, has experience with branded consumer goods, provides diversity of background and viewpoint, and has marketing and public company board experience.</w:t>
            </w:r>
          </w:p>
        </w:tc>
      </w:tr>
      <w:tr>
        <w:trPr/>
        <w:tc>
          <w:tcPr>
            <w:tcW w:w="2815"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90"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629920"/>
                <wp:effectExtent l="0" t="0" r="0" b="0"/>
                <wp:wrapNone/>
                <wp:docPr id="222" name="Frame4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37</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895"/>
        <w:gridCol w:w="788"/>
        <w:gridCol w:w="791"/>
        <w:gridCol w:w="161"/>
        <w:gridCol w:w="161"/>
        <w:gridCol w:w="22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Proposal 1: Election of directors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2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80" descr=""/>
                          <pic:cNvPicPr>
                            <a:picLocks noChangeAspect="1" noChangeArrowheads="1"/>
                          </pic:cNvPicPr>
                        </pic:nvPicPr>
                        <pic:blipFill>
                          <a:blip r:embed="rId181"/>
                          <a:stretch>
                            <a:fillRect/>
                          </a:stretch>
                        </pic:blipFill>
                        <pic:spPr bwMode="auto">
                          <a:xfrm>
                            <a:off x="0" y="0"/>
                            <a:ext cx="228600" cy="180975"/>
                          </a:xfrm>
                          <a:prstGeom prst="rect">
                            <a:avLst/>
                          </a:prstGeom>
                        </pic:spPr>
                      </pic:pic>
                    </a:graphicData>
                  </a:graphic>
                </wp:inline>
              </w:drawing>
            </w:r>
            <w:r>
              <w:rPr>
                <w:color w:val="000000"/>
              </w:rPr>
              <w:t> </w:t>
            </w:r>
          </w:p>
        </w:tc>
      </w:tr>
      <w:tr>
        <w:trPr/>
        <w:tc>
          <w:tcPr>
            <w:tcW w:w="24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07"/>
        <w:gridCol w:w="709"/>
        <w:gridCol w:w="710"/>
        <w:gridCol w:w="2335"/>
        <w:gridCol w:w="2335"/>
        <w:gridCol w:w="3309"/>
      </w:tblGrid>
      <w:tr>
        <w:trPr/>
        <w:tc>
          <w:tcPr>
            <w:tcW w:w="8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op w:val="single" w:sz="16" w:space="0" w:color="0046C8"/>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942975" cy="942975"/>
                  <wp:effectExtent l="0" t="0" r="0" b="0"/>
                  <wp:docPr id="22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81" descr=""/>
                          <pic:cNvPicPr>
                            <a:picLocks noChangeAspect="1" noChangeArrowheads="1"/>
                          </pic:cNvPicPr>
                        </pic:nvPicPr>
                        <pic:blipFill>
                          <a:blip r:embed="rId182"/>
                          <a:stretch>
                            <a:fillRect/>
                          </a:stretch>
                        </pic:blipFill>
                        <pic:spPr bwMode="auto">
                          <a:xfrm>
                            <a:off x="0" y="0"/>
                            <a:ext cx="942975" cy="942975"/>
                          </a:xfrm>
                          <a:prstGeom prst="rect">
                            <a:avLst/>
                          </a:prstGeom>
                        </pic:spPr>
                      </pic:pic>
                    </a:graphicData>
                  </a:graphic>
                </wp:inline>
              </w:drawing>
            </w:r>
          </w:p>
          <w:p>
            <w:pPr>
              <w:pStyle w:val="TableContents"/>
              <w:bidi w:val="0"/>
              <w:spacing w:lineRule="auto" w:line="312" w:before="0" w:after="80"/>
              <w:jc w:val="left"/>
              <w:rPr>
                <w:rFonts w:ascii="Lato Bold;sans-serif" w:hAnsi="Lato Bold;sans-serif"/>
                <w:b/>
                <w:color w:val="000000"/>
                <w:sz w:val="23"/>
              </w:rPr>
            </w:pPr>
            <w:r>
              <w:rPr>
                <w:rFonts w:ascii="Lato Bold;sans-serif" w:hAnsi="Lato Bold;sans-serif"/>
                <w:b/>
                <w:color w:val="000000"/>
                <w:sz w:val="23"/>
              </w:rPr>
              <w:t>Sherilyn S. McCoy, 66</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Former Chief Executive Officer, Avon Products, Inc.</w:t>
            </w:r>
          </w:p>
          <w:p>
            <w:pPr>
              <w:pStyle w:val="TableContents"/>
              <w:bidi w:val="0"/>
              <w:spacing w:lineRule="auto" w:line="312" w:before="200" w:after="283"/>
              <w:jc w:val="left"/>
              <w:rPr>
                <w:rFonts w:ascii="Lato Bold;sans-serif" w:hAnsi="Lato Bold;sans-serif"/>
                <w:b/>
                <w:color w:val="000000"/>
                <w:sz w:val="16"/>
              </w:rPr>
            </w:pPr>
            <w:r>
              <w:rPr>
                <w:rFonts w:ascii="Lato Bold;sans-serif" w:hAnsi="Lato Bold;sans-serif"/>
                <w:b/>
                <w:color w:val="000000"/>
                <w:sz w:val="16"/>
              </w:rPr>
              <w:t>Director since:</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2018</w:t>
            </w:r>
          </w:p>
        </w:tc>
        <w:tc>
          <w:tcPr>
            <w:tcW w:w="7979" w:type="dxa"/>
            <w:gridSpan w:val="3"/>
            <w:tcBorders>
              <w:left w:val="single" w:sz="4" w:space="0" w:color="B3B3B3"/>
            </w:tcBorders>
            <w:tcMar>
              <w:top w:w="0" w:type="dxa"/>
              <w:bottom w:w="0" w:type="dxa"/>
              <w:right w:w="0" w:type="dxa"/>
            </w:tcMar>
            <w:vAlign w:val="center"/>
          </w:tcPr>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Chief Executive Officer and Director of Avon Products, Inc., a personal care products company, from 2012 to 2018.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Had a 30-year career at Johnson &amp; Johnson, where she rose to Vice Chairman in 2011.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Most recently at Johnson &amp; Johnson, oversaw Pharmaceutical, Consumer, Corporate Office of Science &amp; Technology, and Information Technology divisions.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Served in a number of leadership roles, including Worldwide Chairman, Pharmaceuticals Group from 2009 to 2011; Worldwide Chairman, Surgical Care Group from 2008 to 2009; and Company Group Chairman and Worldwide Franchise Chairman of Ethicon, Inc., a subsidiary of Johnson &amp; Johnson, from 2005 to 2008.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Earlier in her career, Ms. McCoy was Global President of the Baby and Wound Care franchise; Vice President, Marketing for a variety of global brands; and Vice President, Research &amp; Development for the Personal Products Worldwide Division.</w:t>
            </w:r>
          </w:p>
        </w:tc>
      </w:tr>
      <w:tr>
        <w:trPr/>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Other public company boards served on since 2020: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AstraZeneca PLC, Certara, Inc. (through November 2021), NovoCure Limited (through June 2022) and Stryker Corporation.</w:t>
            </w:r>
          </w:p>
        </w:tc>
      </w:tr>
      <w:tr>
        <w:trPr/>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Experience highlights:</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Ms. McCoy satisfies the financial literacy requirements of the NYSE, has leadership experience as a chief executive officer, provides diversity of background and viewpoint, has knowledge about our industries, has innovation and international experience and experience with branded consumer packaged goods, and has marketing, compensation, governance, and public company board experience.</w:t>
            </w:r>
          </w:p>
        </w:tc>
      </w:tr>
      <w:tr>
        <w:trPr/>
        <w:tc>
          <w:tcPr>
            <w:tcW w:w="2226"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9"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9"/>
        <w:gridCol w:w="613"/>
        <w:gridCol w:w="615"/>
        <w:gridCol w:w="2420"/>
        <w:gridCol w:w="2420"/>
        <w:gridCol w:w="3438"/>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3438"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3"/>
            <w:tcBorders>
              <w:top w:val="single" w:sz="16" w:space="0" w:color="0046C8"/>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942975" cy="942975"/>
                  <wp:effectExtent l="0" t="0" r="0" b="0"/>
                  <wp:docPr id="22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82" descr=""/>
                          <pic:cNvPicPr>
                            <a:picLocks noChangeAspect="1" noChangeArrowheads="1"/>
                          </pic:cNvPicPr>
                        </pic:nvPicPr>
                        <pic:blipFill>
                          <a:blip r:embed="rId183"/>
                          <a:stretch>
                            <a:fillRect/>
                          </a:stretch>
                        </pic:blipFill>
                        <pic:spPr bwMode="auto">
                          <a:xfrm>
                            <a:off x="0" y="0"/>
                            <a:ext cx="942975" cy="942975"/>
                          </a:xfrm>
                          <a:prstGeom prst="rect">
                            <a:avLst/>
                          </a:prstGeom>
                        </pic:spPr>
                      </pic:pic>
                    </a:graphicData>
                  </a:graphic>
                </wp:inline>
              </w:drawing>
            </w:r>
          </w:p>
          <w:p>
            <w:pPr>
              <w:pStyle w:val="TableContents"/>
              <w:bidi w:val="0"/>
              <w:spacing w:lineRule="auto" w:line="312" w:before="0" w:after="80"/>
              <w:jc w:val="left"/>
              <w:rPr>
                <w:rFonts w:ascii="Lato Bold;sans-serif" w:hAnsi="Lato Bold;sans-serif"/>
                <w:b/>
                <w:color w:val="000000"/>
                <w:sz w:val="23"/>
              </w:rPr>
            </w:pPr>
            <w:r>
              <w:rPr>
                <w:rFonts w:ascii="Lato Bold;sans-serif" w:hAnsi="Lato Bold;sans-serif"/>
                <w:b/>
                <w:color w:val="000000"/>
                <w:sz w:val="23"/>
              </w:rPr>
              <w:t>Christa S. Quarles, 51</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Chief Executive Officer, Alludo</w:t>
            </w:r>
          </w:p>
          <w:p>
            <w:pPr>
              <w:pStyle w:val="TableContents"/>
              <w:bidi w:val="0"/>
              <w:spacing w:lineRule="auto" w:line="312" w:before="200" w:after="283"/>
              <w:jc w:val="left"/>
              <w:rPr>
                <w:rFonts w:ascii="Lato Bold;sans-serif" w:hAnsi="Lato Bold;sans-serif"/>
                <w:b/>
                <w:color w:val="000000"/>
                <w:sz w:val="16"/>
              </w:rPr>
            </w:pPr>
            <w:r>
              <w:rPr>
                <w:rFonts w:ascii="Lato Bold;sans-serif" w:hAnsi="Lato Bold;sans-serif"/>
                <w:b/>
                <w:color w:val="000000"/>
                <w:sz w:val="16"/>
              </w:rPr>
              <w:t>Director since:</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2016</w:t>
            </w:r>
          </w:p>
        </w:tc>
        <w:tc>
          <w:tcPr>
            <w:tcW w:w="8278" w:type="dxa"/>
            <w:gridSpan w:val="3"/>
            <w:tcBorders>
              <w:left w:val="single" w:sz="4" w:space="0" w:color="B3B3B3"/>
            </w:tcBorders>
            <w:tcMar>
              <w:top w:w="0" w:type="dxa"/>
              <w:bottom w:w="0" w:type="dxa"/>
              <w:right w:w="0" w:type="dxa"/>
            </w:tcMar>
            <w:vAlign w:val="center"/>
          </w:tcPr>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Chief Executive Officer and Director of Alludo, a portfolio software company of KKR, since 2020.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Chief Executive Officer of OpenTable, Inc., a provider of online restaurant reservations, from November 2015 to 2018.</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Served as Chief Financial Officer from May 2015 to November 2015.</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Chief Business Officer of Nextdoor, Inc. from 2014 to May 2015.</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Held positions of increasing responsibility with The Walt Disney Company from 2010 to 2014, including Senior Vice President, General Manager Mobile and Social Games; General Manager, Disney Mobile Games; and Chief Financial Officer and Head of Business Operations, Mobile and Social Games.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Prior to 2010, served as Chief Financial Officer of Playdom Inc., which was acquired by The Walt Disney Company in 2010.</w:t>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Other public company boards served on since 2020: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Affirm Holdings, Inc. (since January 2021).</w:t>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Experience highlights:</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Ms. Quarles satisfies the financial literacy requirements of the NYSE and has a background in finance, has leadership experience as a chief executive officer, has innovation, digital marketing, e-commerce, information technology, and cybersecurity expertise from her roles at Alludo and OpenTable, and provides diversity of background and viewpoint.</w:t>
            </w:r>
          </w:p>
        </w:tc>
      </w:tr>
      <w:tr>
        <w:trPr/>
        <w:tc>
          <w:tcPr>
            <w:tcW w:w="1927"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629920"/>
                <wp:effectExtent l="0" t="0" r="0" b="0"/>
                <wp:wrapNone/>
                <wp:docPr id="226" name="Frame4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38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38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188"/>
        <w:gridCol w:w="166"/>
        <w:gridCol w:w="167"/>
        <w:gridCol w:w="733"/>
        <w:gridCol w:w="733"/>
        <w:gridCol w:w="103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2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83" descr=""/>
                          <pic:cNvPicPr>
                            <a:picLocks noChangeAspect="1" noChangeArrowheads="1"/>
                          </pic:cNvPicPr>
                        </pic:nvPicPr>
                        <pic:blipFill>
                          <a:blip r:embed="rId184"/>
                          <a:stretch>
                            <a:fillRect/>
                          </a:stretch>
                        </pic:blipFill>
                        <pic:spPr bwMode="auto">
                          <a:xfrm>
                            <a:off x="0" y="0"/>
                            <a:ext cx="228600" cy="180975"/>
                          </a:xfrm>
                          <a:prstGeom prst="rect">
                            <a:avLst/>
                          </a:prstGeom>
                        </pic:spPr>
                      </pic:pic>
                    </a:graphicData>
                  </a:graphic>
                </wp:inline>
              </w:drawing>
            </w: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Proposal 1: Election of directors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93"/>
        <w:gridCol w:w="696"/>
        <w:gridCol w:w="698"/>
        <w:gridCol w:w="2342"/>
        <w:gridCol w:w="2342"/>
        <w:gridCol w:w="333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op w:val="single" w:sz="16" w:space="0" w:color="0046C8"/>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942975" cy="942975"/>
                  <wp:effectExtent l="0" t="0" r="0" b="0"/>
                  <wp:docPr id="22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84" descr=""/>
                          <pic:cNvPicPr>
                            <a:picLocks noChangeAspect="1" noChangeArrowheads="1"/>
                          </pic:cNvPicPr>
                        </pic:nvPicPr>
                        <pic:blipFill>
                          <a:blip r:embed="rId185"/>
                          <a:stretch>
                            <a:fillRect/>
                          </a:stretch>
                        </pic:blipFill>
                        <pic:spPr bwMode="auto">
                          <a:xfrm>
                            <a:off x="0" y="0"/>
                            <a:ext cx="942975" cy="942975"/>
                          </a:xfrm>
                          <a:prstGeom prst="rect">
                            <a:avLst/>
                          </a:prstGeom>
                        </pic:spPr>
                      </pic:pic>
                    </a:graphicData>
                  </a:graphic>
                </wp:inline>
              </w:drawing>
            </w:r>
          </w:p>
          <w:p>
            <w:pPr>
              <w:pStyle w:val="TableContents"/>
              <w:bidi w:val="0"/>
              <w:spacing w:lineRule="auto" w:line="312" w:before="0" w:after="80"/>
              <w:jc w:val="left"/>
              <w:rPr>
                <w:rFonts w:ascii="Lato Bold;sans-serif" w:hAnsi="Lato Bold;sans-serif"/>
                <w:b/>
                <w:color w:val="000000"/>
                <w:sz w:val="23"/>
              </w:rPr>
            </w:pPr>
            <w:r>
              <w:rPr>
                <w:rFonts w:ascii="Lato Bold;sans-serif" w:hAnsi="Lato Bold;sans-serif"/>
                <w:b/>
                <w:color w:val="000000"/>
                <w:sz w:val="23"/>
              </w:rPr>
              <w:t>Jaime A. Ramirez, 58</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Chief Executive Officer, Fluidra</w:t>
            </w:r>
          </w:p>
          <w:p>
            <w:pPr>
              <w:pStyle w:val="TableContents"/>
              <w:bidi w:val="0"/>
              <w:spacing w:lineRule="auto" w:line="312" w:before="200" w:after="283"/>
              <w:jc w:val="left"/>
              <w:rPr>
                <w:rFonts w:ascii="Lato Bold;sans-serif" w:hAnsi="Lato Bold;sans-serif"/>
                <w:b/>
                <w:color w:val="000000"/>
                <w:sz w:val="16"/>
              </w:rPr>
            </w:pPr>
            <w:r>
              <w:rPr>
                <w:rFonts w:ascii="Lato Bold;sans-serif" w:hAnsi="Lato Bold;sans-serif"/>
                <w:b/>
                <w:color w:val="000000"/>
                <w:sz w:val="16"/>
              </w:rPr>
              <w:t>Director since:</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2021</w:t>
            </w:r>
          </w:p>
        </w:tc>
        <w:tc>
          <w:tcPr>
            <w:tcW w:w="8018" w:type="dxa"/>
            <w:gridSpan w:val="3"/>
            <w:tcBorders>
              <w:left w:val="single" w:sz="4" w:space="0" w:color="B3B3B3"/>
            </w:tcBorders>
            <w:tcMar>
              <w:top w:w="0" w:type="dxa"/>
              <w:bottom w:w="0" w:type="dxa"/>
              <w:right w:w="0" w:type="dxa"/>
            </w:tcMar>
            <w:vAlign w:val="center"/>
          </w:tcPr>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Chief Executive Officer of Fluidra, a swimming pool and wellness company, since June 2024.</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Executive Vice President and President, Global Tools &amp; Storage of Stanley Black &amp; Decker, Inc., an industrial and consumer products company, from 2020 to 2022.</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Served as Senior Vice President and Chief Operating Officer, Tools &amp; Storage, from 2019 to 2020; and Senior Vice President and President, Global Emerging Markets, from 2012 to 2019.</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Joined the company in 1991 and served in a number of leadership roles, including President, Construction and DIY, Latin America and President, Latin America Group. </w:t>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Other public company boards served on since 2020: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None.</w:t>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Experience highlights:</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Mr. Ramirez satisfies the financial literacy requirements of the NYSE, has leadership experience as a chief executive officer, has international experience and experience with branded consumer goods, and has marketing, digital marketing, and e-commerce experience.</w:t>
            </w:r>
          </w:p>
        </w:tc>
      </w:tr>
      <w:tr>
        <w:trPr/>
        <w:tc>
          <w:tcPr>
            <w:tcW w:w="2187"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7"/>
        <w:gridCol w:w="823"/>
        <w:gridCol w:w="824"/>
        <w:gridCol w:w="2229"/>
        <w:gridCol w:w="2229"/>
        <w:gridCol w:w="3163"/>
      </w:tblGrid>
      <w:tr>
        <w:trPr/>
        <w:tc>
          <w:tcPr>
            <w:tcW w:w="93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3163" w:type="dxa"/>
            <w:tcBorders/>
            <w:vAlign w:val="center"/>
          </w:tcPr>
          <w:p>
            <w:pPr>
              <w:pStyle w:val="TableContents"/>
              <w:bidi w:val="0"/>
              <w:spacing w:before="0" w:after="283"/>
              <w:jc w:val="left"/>
              <w:rPr>
                <w:sz w:val="4"/>
                <w:szCs w:val="4"/>
              </w:rPr>
            </w:pPr>
            <w:r>
              <w:rPr>
                <w:sz w:val="4"/>
                <w:szCs w:val="4"/>
              </w:rPr>
            </w:r>
          </w:p>
        </w:tc>
      </w:tr>
      <w:tr>
        <w:trPr/>
        <w:tc>
          <w:tcPr>
            <w:tcW w:w="2584"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1" w:type="dxa"/>
            <w:gridSpan w:val="3"/>
            <w:tcBorders>
              <w:top w:val="single" w:sz="16" w:space="0" w:color="0046C8"/>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942975" cy="942975"/>
                  <wp:effectExtent l="0" t="0" r="0" b="0"/>
                  <wp:docPr id="22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85" descr=""/>
                          <pic:cNvPicPr>
                            <a:picLocks noChangeAspect="1" noChangeArrowheads="1"/>
                          </pic:cNvPicPr>
                        </pic:nvPicPr>
                        <pic:blipFill>
                          <a:blip r:embed="rId186"/>
                          <a:stretch>
                            <a:fillRect/>
                          </a:stretch>
                        </pic:blipFill>
                        <pic:spPr bwMode="auto">
                          <a:xfrm>
                            <a:off x="0" y="0"/>
                            <a:ext cx="942975" cy="942975"/>
                          </a:xfrm>
                          <a:prstGeom prst="rect">
                            <a:avLst/>
                          </a:prstGeom>
                        </pic:spPr>
                      </pic:pic>
                    </a:graphicData>
                  </a:graphic>
                </wp:inline>
              </w:drawing>
            </w:r>
          </w:p>
          <w:p>
            <w:pPr>
              <w:pStyle w:val="TableContents"/>
              <w:bidi w:val="0"/>
              <w:spacing w:lineRule="auto" w:line="312" w:before="0" w:after="0"/>
              <w:jc w:val="left"/>
              <w:rPr>
                <w:rFonts w:ascii="Lato Bold;sans-serif" w:hAnsi="Lato Bold;sans-serif"/>
                <w:b/>
                <w:color w:val="000000"/>
                <w:sz w:val="23"/>
              </w:rPr>
            </w:pPr>
            <w:r>
              <w:rPr>
                <w:rFonts w:ascii="Lato Bold;sans-serif" w:hAnsi="Lato Bold;sans-serif"/>
                <w:b/>
                <w:color w:val="000000"/>
                <w:sz w:val="23"/>
              </w:rPr>
              <w:t>Joseph Romanelli, 51</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President, Human Health International, Merck</w:t>
            </w:r>
          </w:p>
          <w:p>
            <w:pPr>
              <w:pStyle w:val="TableContents"/>
              <w:bidi w:val="0"/>
              <w:spacing w:lineRule="auto" w:line="312" w:before="200" w:after="283"/>
              <w:jc w:val="left"/>
              <w:rPr>
                <w:rFonts w:ascii="Lato Bold;sans-serif" w:hAnsi="Lato Bold;sans-serif"/>
                <w:b/>
                <w:color w:val="000000"/>
                <w:sz w:val="16"/>
              </w:rPr>
            </w:pPr>
            <w:r>
              <w:rPr>
                <w:rFonts w:ascii="Lato Bold;sans-serif" w:hAnsi="Lato Bold;sans-serif"/>
                <w:b/>
                <w:color w:val="000000"/>
                <w:sz w:val="16"/>
              </w:rPr>
              <w:t>Director since:</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November 2024</w:t>
            </w:r>
          </w:p>
        </w:tc>
        <w:tc>
          <w:tcPr>
            <w:tcW w:w="7621" w:type="dxa"/>
            <w:gridSpan w:val="3"/>
            <w:tcBorders>
              <w:left w:val="single" w:sz="4" w:space="0" w:color="B3B3B3"/>
            </w:tcBorders>
            <w:tcMar>
              <w:top w:w="0" w:type="dxa"/>
              <w:bottom w:w="0" w:type="dxa"/>
              <w:right w:w="0" w:type="dxa"/>
            </w:tcMar>
            <w:vAlign w:val="center"/>
          </w:tcPr>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President, Human Health International of Merck &amp; Co., Inc., a biopharmaceutical company, since 2022.</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Chief Executive Officer of JiXing Pharmaceuticals, a China-based biopharmaceutical company, from 2021 to 2022.</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Served in a number of leadership roles at Merck and Schering-Plough (which merged with Merck in 2009) from 1996 to 2021, including President MSD China from 2016 to 2021.</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Served approximately seven years in the Investor Relations area and led Merck’s Investor Relations team as Vice President, Investor Relations from 2013 to 2015.</w:t>
            </w:r>
          </w:p>
        </w:tc>
      </w:tr>
      <w:tr>
        <w:trPr/>
        <w:tc>
          <w:tcPr>
            <w:tcW w:w="2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1"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Other public company boards served on since 2020: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None.</w:t>
            </w:r>
          </w:p>
        </w:tc>
      </w:tr>
      <w:tr>
        <w:trPr/>
        <w:tc>
          <w:tcPr>
            <w:tcW w:w="2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Experience highlights:</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Mr. Romanelli has been determined by our Board to qualify as an “audit committee financial expert” under the SEC’s rules and regulations, has leadership experience as a senior executive, provides diversity of background and viewpoint, and has international, innovation and marketing experience.</w:t>
            </w:r>
          </w:p>
        </w:tc>
      </w:tr>
      <w:tr>
        <w:trPr/>
        <w:tc>
          <w:tcPr>
            <w:tcW w:w="2584"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21"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629920"/>
                <wp:effectExtent l="0" t="0" r="0" b="0"/>
                <wp:wrapNone/>
                <wp:docPr id="230" name="Frame4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39</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895"/>
        <w:gridCol w:w="788"/>
        <w:gridCol w:w="791"/>
        <w:gridCol w:w="161"/>
        <w:gridCol w:w="161"/>
        <w:gridCol w:w="22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Proposal 1: Election of directors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31"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86" descr=""/>
                          <pic:cNvPicPr>
                            <a:picLocks noChangeAspect="1" noChangeArrowheads="1"/>
                          </pic:cNvPicPr>
                        </pic:nvPicPr>
                        <pic:blipFill>
                          <a:blip r:embed="rId187"/>
                          <a:stretch>
                            <a:fillRect/>
                          </a:stretch>
                        </pic:blipFill>
                        <pic:spPr bwMode="auto">
                          <a:xfrm>
                            <a:off x="0" y="0"/>
                            <a:ext cx="228600" cy="180975"/>
                          </a:xfrm>
                          <a:prstGeom prst="rect">
                            <a:avLst/>
                          </a:prstGeom>
                        </pic:spPr>
                      </pic:pic>
                    </a:graphicData>
                  </a:graphic>
                </wp:inline>
              </w:drawing>
            </w:r>
            <w:r>
              <w:rPr>
                <w:color w:val="000000"/>
              </w:rPr>
              <w:t> </w:t>
            </w:r>
          </w:p>
        </w:tc>
      </w:tr>
      <w:tr>
        <w:trPr/>
        <w:tc>
          <w:tcPr>
            <w:tcW w:w="24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18"/>
        <w:gridCol w:w="981"/>
        <w:gridCol w:w="983"/>
        <w:gridCol w:w="2082"/>
        <w:gridCol w:w="2082"/>
        <w:gridCol w:w="2959"/>
      </w:tblGrid>
      <w:tr>
        <w:trPr/>
        <w:tc>
          <w:tcPr>
            <w:tcW w:w="111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3"/>
            <w:tcBorders>
              <w:top w:val="single" w:sz="16" w:space="0" w:color="0046C8"/>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942975" cy="942975"/>
                  <wp:effectExtent l="0" t="0" r="0" b="0"/>
                  <wp:docPr id="232"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87" descr=""/>
                          <pic:cNvPicPr>
                            <a:picLocks noChangeAspect="1" noChangeArrowheads="1"/>
                          </pic:cNvPicPr>
                        </pic:nvPicPr>
                        <pic:blipFill>
                          <a:blip r:embed="rId188"/>
                          <a:stretch>
                            <a:fillRect/>
                          </a:stretch>
                        </pic:blipFill>
                        <pic:spPr bwMode="auto">
                          <a:xfrm>
                            <a:off x="0" y="0"/>
                            <a:ext cx="942975" cy="942975"/>
                          </a:xfrm>
                          <a:prstGeom prst="rect">
                            <a:avLst/>
                          </a:prstGeom>
                        </pic:spPr>
                      </pic:pic>
                    </a:graphicData>
                  </a:graphic>
                </wp:inline>
              </w:drawing>
            </w:r>
          </w:p>
          <w:p>
            <w:pPr>
              <w:pStyle w:val="TableContents"/>
              <w:bidi w:val="0"/>
              <w:spacing w:lineRule="auto" w:line="312" w:before="0" w:after="80"/>
              <w:jc w:val="left"/>
              <w:rPr>
                <w:rFonts w:ascii="Lato Bold;sans-serif" w:hAnsi="Lato Bold;sans-serif"/>
                <w:b/>
                <w:color w:val="000000"/>
                <w:sz w:val="23"/>
              </w:rPr>
            </w:pPr>
            <w:r>
              <w:rPr>
                <w:rFonts w:ascii="Lato Bold;sans-serif" w:hAnsi="Lato Bold;sans-serif"/>
                <w:b/>
                <w:color w:val="000000"/>
                <w:sz w:val="23"/>
              </w:rPr>
              <w:t>Dunia A. Shive, 64</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Former President and Chief Executive Officer, Belo Corp.</w:t>
            </w:r>
          </w:p>
          <w:p>
            <w:pPr>
              <w:pStyle w:val="TableContents"/>
              <w:bidi w:val="0"/>
              <w:spacing w:lineRule="auto" w:line="312" w:before="200" w:after="283"/>
              <w:jc w:val="left"/>
              <w:rPr>
                <w:rFonts w:ascii="Lato Bold;sans-serif" w:hAnsi="Lato Bold;sans-serif"/>
                <w:b/>
                <w:color w:val="000000"/>
                <w:sz w:val="16"/>
              </w:rPr>
            </w:pPr>
            <w:r>
              <w:rPr>
                <w:rFonts w:ascii="Lato Bold;sans-serif" w:hAnsi="Lato Bold;sans-serif"/>
                <w:b/>
                <w:color w:val="000000"/>
                <w:sz w:val="16"/>
              </w:rPr>
              <w:t>Director since:</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2019</w:t>
            </w:r>
          </w:p>
        </w:tc>
        <w:tc>
          <w:tcPr>
            <w:tcW w:w="7123" w:type="dxa"/>
            <w:gridSpan w:val="3"/>
            <w:tcBorders>
              <w:left w:val="single" w:sz="4" w:space="0" w:color="B3B3B3"/>
            </w:tcBorders>
            <w:tcMar>
              <w:top w:w="0" w:type="dxa"/>
              <w:bottom w:w="0" w:type="dxa"/>
              <w:right w:w="0" w:type="dxa"/>
            </w:tcMar>
            <w:vAlign w:val="center"/>
          </w:tcPr>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Senior Vice President of TEGNA Inc., formerly Gannett Co., Inc., a broadcast and digital media company, from 2013 to 2017.</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President and Chief Executive Officer of Belo Corp. from 2008 to 2013, which was acquired by Gannett in 2013.</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Joined Belo Corp. in 1993 and served as Chief Financial Officer and various other leadership positions prior to her election as President and Chief Executive Officer.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Serves as a Trustee of Downtown Dallas Parks Conservancy.</w:t>
            </w:r>
          </w:p>
        </w:tc>
      </w:tr>
      <w:tr>
        <w:trPr/>
        <w:tc>
          <w:tcPr>
            <w:tcW w:w="3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Other public company boards served on since 2020: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DallasNews Corporation (since September 2021), Main Street Capital Corporation and Trinity Industries, Inc.</w:t>
            </w:r>
          </w:p>
        </w:tc>
      </w:tr>
      <w:tr>
        <w:trPr/>
        <w:tc>
          <w:tcPr>
            <w:tcW w:w="3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Experience highlights:</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Ms. Shive has been determined by our Board to qualify as an “audit committee financial expert” under the SEC’s rules and regulations and has an accounting and finance background, has leadership experience as a chief executive officer, provides diversity of background and viewpoint, and has marketing, compensation, governance, and public company board experience.</w:t>
            </w:r>
          </w:p>
        </w:tc>
      </w:tr>
      <w:tr>
        <w:trPr/>
        <w:tc>
          <w:tcPr>
            <w:tcW w:w="3082"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3"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629920"/>
                <wp:effectExtent l="0" t="0" r="0" b="0"/>
                <wp:wrapNone/>
                <wp:docPr id="233" name="Frame4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40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40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188"/>
        <w:gridCol w:w="166"/>
        <w:gridCol w:w="167"/>
        <w:gridCol w:w="733"/>
        <w:gridCol w:w="733"/>
        <w:gridCol w:w="103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34"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88" descr=""/>
                          <pic:cNvPicPr>
                            <a:picLocks noChangeAspect="1" noChangeArrowheads="1"/>
                          </pic:cNvPicPr>
                        </pic:nvPicPr>
                        <pic:blipFill>
                          <a:blip r:embed="rId189"/>
                          <a:stretch>
                            <a:fillRect/>
                          </a:stretch>
                        </pic:blipFill>
                        <pic:spPr bwMode="auto">
                          <a:xfrm>
                            <a:off x="0" y="0"/>
                            <a:ext cx="228600" cy="180975"/>
                          </a:xfrm>
                          <a:prstGeom prst="rect">
                            <a:avLst/>
                          </a:prstGeom>
                        </pic:spPr>
                      </pic:pic>
                    </a:graphicData>
                  </a:graphic>
                </wp:inline>
              </w:drawing>
            </w: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Proposal 1: Election of directors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02"/>
        <w:gridCol w:w="880"/>
        <w:gridCol w:w="881"/>
        <w:gridCol w:w="2175"/>
        <w:gridCol w:w="2175"/>
        <w:gridCol w:w="3092"/>
      </w:tblGrid>
      <w:tr>
        <w:trPr/>
        <w:tc>
          <w:tcPr>
            <w:tcW w:w="10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r>
      <w:tr>
        <w:trPr/>
        <w:tc>
          <w:tcPr>
            <w:tcW w:w="2763"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gridSpan w:val="3"/>
            <w:tcBorders>
              <w:top w:val="single" w:sz="16" w:space="0" w:color="0046C8"/>
              <w:left w:val="single" w:sz="4" w:space="0" w:color="B3B3B3"/>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cMar>
              <w:top w:w="0" w:type="dxa"/>
              <w:left w:w="0" w:type="dxa"/>
              <w:bottom w:w="0" w:type="dxa"/>
              <w:right w:w="0" w:type="dxa"/>
            </w:tcMar>
            <w:vAlign w:val="center"/>
          </w:tcPr>
          <w:p>
            <w:pPr>
              <w:pStyle w:val="TableContents"/>
              <w:bidi w:val="0"/>
              <w:spacing w:before="120" w:after="283"/>
              <w:jc w:val="left"/>
              <w:rPr/>
            </w:pPr>
            <w:r>
              <w:rPr/>
              <w:drawing>
                <wp:inline distT="0" distB="0" distL="0" distR="0">
                  <wp:extent cx="942975" cy="942975"/>
                  <wp:effectExtent l="0" t="0" r="0" b="0"/>
                  <wp:docPr id="235"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89" descr=""/>
                          <pic:cNvPicPr>
                            <a:picLocks noChangeAspect="1" noChangeArrowheads="1"/>
                          </pic:cNvPicPr>
                        </pic:nvPicPr>
                        <pic:blipFill>
                          <a:blip r:embed="rId190"/>
                          <a:stretch>
                            <a:fillRect/>
                          </a:stretch>
                        </pic:blipFill>
                        <pic:spPr bwMode="auto">
                          <a:xfrm>
                            <a:off x="0" y="0"/>
                            <a:ext cx="942975" cy="942975"/>
                          </a:xfrm>
                          <a:prstGeom prst="rect">
                            <a:avLst/>
                          </a:prstGeom>
                        </pic:spPr>
                      </pic:pic>
                    </a:graphicData>
                  </a:graphic>
                </wp:inline>
              </w:drawing>
            </w:r>
          </w:p>
          <w:p>
            <w:pPr>
              <w:pStyle w:val="TableContents"/>
              <w:bidi w:val="0"/>
              <w:spacing w:lineRule="auto" w:line="312" w:before="0" w:after="80"/>
              <w:jc w:val="left"/>
              <w:rPr>
                <w:rFonts w:ascii="Lato Bold;sans-serif" w:hAnsi="Lato Bold;sans-serif"/>
                <w:b/>
                <w:color w:val="000000"/>
                <w:sz w:val="23"/>
              </w:rPr>
            </w:pPr>
            <w:r>
              <w:rPr>
                <w:rFonts w:ascii="Lato Bold;sans-serif" w:hAnsi="Lato Bold;sans-serif"/>
                <w:b/>
                <w:color w:val="000000"/>
                <w:sz w:val="23"/>
              </w:rPr>
              <w:t>Mark T. Smucker, 55</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Chair of the Board, President, and Chief Executive Officer, The J.M. Smucker Company</w:t>
            </w:r>
          </w:p>
          <w:p>
            <w:pPr>
              <w:pStyle w:val="TableContents"/>
              <w:bidi w:val="0"/>
              <w:spacing w:lineRule="auto" w:line="312" w:before="200" w:after="283"/>
              <w:jc w:val="left"/>
              <w:rPr>
                <w:rFonts w:ascii="Lato Bold;sans-serif" w:hAnsi="Lato Bold;sans-serif"/>
                <w:b/>
                <w:color w:val="000000"/>
                <w:sz w:val="16"/>
              </w:rPr>
            </w:pPr>
            <w:r>
              <w:rPr>
                <w:rFonts w:ascii="Lato Bold;sans-serif" w:hAnsi="Lato Bold;sans-serif"/>
                <w:b/>
                <w:color w:val="000000"/>
                <w:sz w:val="16"/>
              </w:rPr>
              <w:t>Director since:</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2019</w:t>
            </w:r>
          </w:p>
        </w:tc>
        <w:tc>
          <w:tcPr>
            <w:tcW w:w="7442" w:type="dxa"/>
            <w:gridSpan w:val="3"/>
            <w:tcBorders>
              <w:left w:val="single" w:sz="4" w:space="0" w:color="B3B3B3"/>
            </w:tcBorders>
            <w:tcMar>
              <w:top w:w="0" w:type="dxa"/>
              <w:bottom w:w="0" w:type="dxa"/>
              <w:right w:w="0" w:type="dxa"/>
            </w:tcMar>
            <w:vAlign w:val="center"/>
          </w:tcPr>
          <w:p>
            <w:pPr>
              <w:pStyle w:val="TableContents"/>
              <w:bidi w:val="0"/>
              <w:spacing w:lineRule="auto" w:line="312" w:before="80" w:after="120"/>
              <w:ind w:left="0" w:right="0" w:hanging="216"/>
              <w:jc w:val="left"/>
              <w:rPr/>
            </w:pPr>
            <w:r>
              <w:rPr>
                <w:color w:val="0046C8"/>
              </w:rPr>
              <w:t>•</w:t>
            </w:r>
            <w:r>
              <w:rPr>
                <w:rFonts w:ascii="Lato;sans-serif" w:hAnsi="Lato;sans-serif"/>
                <w:b w:val="false"/>
                <w:color w:val="000000"/>
                <w:sz w:val="19"/>
              </w:rPr>
              <w:t xml:space="preserve">Chair of the Board of The J.M. Smucker Company, a manufacturer and marketer of food and beverage products, since 2022, and President and Chief Executive Officer since 2016. </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Served as President and President, Consumer and Natural Foods, from 2015 to 2016; President, U.S. Retail Coffee, from 2011 to 2015; President, Special Markets, from 2008 to 2011; Vice President, International, from 2007 to 2008; and Vice President, International and Managing Director, Canada, from 2006 to 2007.</w:t>
            </w:r>
          </w:p>
        </w:tc>
      </w:tr>
      <w:tr>
        <w:trPr/>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gridSpan w:val="3"/>
            <w:tcBorders>
              <w:left w:val="single" w:sz="4" w:space="0" w:color="B3B3B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Other public company boards served on since 2020: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The J.M. Smucker Company.</w:t>
            </w:r>
          </w:p>
        </w:tc>
      </w:tr>
      <w:tr>
        <w:trPr/>
        <w:tc>
          <w:tcPr>
            <w:tcW w:w="2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Lato Bold;sans-serif" w:hAnsi="Lato Bold;sans-serif"/>
                <w:b/>
                <w:color w:val="000000"/>
                <w:sz w:val="19"/>
              </w:rPr>
            </w:pPr>
            <w:r>
              <w:rPr>
                <w:rFonts w:ascii="Lato Bold;sans-serif" w:hAnsi="Lato Bold;sans-serif"/>
                <w:b/>
                <w:color w:val="000000"/>
                <w:sz w:val="19"/>
              </w:rPr>
              <w:t>Experience highlights:</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Mr. Smucker satisfies the financial literacy requirements of the NYSE, has leadership experience as a chief executive officer, has knowledge about our industries, has experience with branded consumer packaged goods, and has innovation, marketing, social responsibility, compensation, governance, and public company board experience.</w:t>
            </w:r>
          </w:p>
        </w:tc>
      </w:tr>
      <w:tr>
        <w:trPr/>
        <w:tc>
          <w:tcPr>
            <w:tcW w:w="2763"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42"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8"/>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0046C8"/>
              <w:left w:val="single" w:sz="6" w:space="0" w:color="00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op w:val="single" w:sz="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6" w:space="0" w:color="0046C8"/>
              <w:right w:val="single" w:sz="6" w:space="0" w:color="0046C8"/>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00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Board of Directors unanimously recommends a vote FOR the election of each of the thirteen nominees for director.</w:t>
            </w:r>
          </w:p>
        </w:tc>
        <w:tc>
          <w:tcPr>
            <w:tcW w:w="373" w:type="dxa"/>
            <w:gridSpan w:val="3"/>
            <w:tcBorders>
              <w:right w:val="single" w:sz="6" w:space="0" w:color="00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0046C8"/>
              <w:bottom w:val="single" w:sz="6" w:space="0" w:color="0046C8"/>
            </w:tcBorders>
            <w:tcMar>
              <w:top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bottom w:val="single" w:sz="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bottom w:val="single" w:sz="6" w:space="0" w:color="0046C8"/>
              <w:right w:val="single" w:sz="6" w:space="0" w:color="0046C8"/>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629920"/>
                <wp:effectExtent l="0" t="0" r="0" b="0"/>
                <wp:wrapNone/>
                <wp:docPr id="236" name="Frame4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41</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895"/>
        <w:gridCol w:w="788"/>
        <w:gridCol w:w="791"/>
        <w:gridCol w:w="161"/>
        <w:gridCol w:w="161"/>
        <w:gridCol w:w="22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Proposal 1: Election of directors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3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90" descr=""/>
                          <pic:cNvPicPr>
                            <a:picLocks noChangeAspect="1" noChangeArrowheads="1"/>
                          </pic:cNvPicPr>
                        </pic:nvPicPr>
                        <pic:blipFill>
                          <a:blip r:embed="rId191"/>
                          <a:stretch>
                            <a:fillRect/>
                          </a:stretch>
                        </pic:blipFill>
                        <pic:spPr bwMode="auto">
                          <a:xfrm>
                            <a:off x="0" y="0"/>
                            <a:ext cx="228600" cy="180975"/>
                          </a:xfrm>
                          <a:prstGeom prst="rect">
                            <a:avLst/>
                          </a:prstGeom>
                        </pic:spPr>
                      </pic:pic>
                    </a:graphicData>
                  </a:graphic>
                </wp:inline>
              </w:drawing>
            </w:r>
            <w:r>
              <w:rPr>
                <w:color w:val="000000"/>
              </w:rPr>
              <w:t> </w:t>
            </w:r>
          </w:p>
        </w:tc>
      </w:tr>
      <w:tr>
        <w:trPr/>
        <w:tc>
          <w:tcPr>
            <w:tcW w:w="24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Director Compensation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Directors who are not officers or employees of Kimberly-Clark or any of our subsidiaries, affiliates, or equity companies are “Outside Directors” for compensation purposes and are compensated for their services under our 2021 Outside Directors’ Compensation Plan. All Independent Directors currently on our Board are Outside Directors and are compensated under this Plan.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Our objectives for Outside Director Compensation are: </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to remain competitive with the compensation paid to outside directors of comparable companies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to keep pace with changes in practices in director compensation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to attract qualified candidates for Board service</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to reinforce our practice of encouraging stock ownership by our directors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Nominating and Corporate Governance Committee periodically reviews the form and amount of non-management director compensation to ensure that it is appropriate relative to peer companies. The table below shows how we structured Outside Director compensation in 2024:</w:t>
      </w:r>
    </w:p>
    <w:tbl>
      <w:tblPr>
        <w:tblW w:w="10205" w:type="dxa"/>
        <w:jc w:val="left"/>
        <w:tblInd w:w="0" w:type="dxa"/>
        <w:tblLayout w:type="fixed"/>
        <w:tblCellMar>
          <w:top w:w="28" w:type="dxa"/>
          <w:left w:w="28" w:type="dxa"/>
          <w:bottom w:w="28" w:type="dxa"/>
          <w:right w:w="28" w:type="dxa"/>
        </w:tblCellMar>
      </w:tblPr>
      <w:tblGrid>
        <w:gridCol w:w="1651"/>
        <w:gridCol w:w="1452"/>
        <w:gridCol w:w="1453"/>
        <w:gridCol w:w="1279"/>
        <w:gridCol w:w="1102"/>
        <w:gridCol w:w="1000"/>
        <w:gridCol w:w="807"/>
        <w:gridCol w:w="596"/>
        <w:gridCol w:w="865"/>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4556"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9" w:type="dxa"/>
            <w:gridSpan w:val="6"/>
            <w:vMerge w:val="restart"/>
            <w:tcBorders>
              <w:top w:val="single" w:sz="8" w:space="0" w:color="0046C8"/>
              <w:bottom w:val="single" w:sz="4" w:space="0" w:color="B3B3B3"/>
            </w:tcBorders>
            <w:tcMar>
              <w:top w:w="30" w:type="dxa"/>
              <w:left w:w="0" w:type="dxa"/>
              <w:bottom w:w="30" w:type="dxa"/>
              <w:right w:w="0" w:type="dxa"/>
            </w:tcMar>
            <w:vAlign w:val="center"/>
          </w:tcPr>
          <w:p>
            <w:pPr>
              <w:pStyle w:val="TableContents"/>
              <w:bidi w:val="0"/>
              <w:spacing w:lineRule="auto" w:line="312" w:before="0" w:after="283"/>
              <w:jc w:val="left"/>
              <w:rPr>
                <w:rFonts w:ascii="Lato Bold;sans-serif" w:hAnsi="Lato Bold;sans-serif"/>
                <w:b/>
                <w:color w:val="0046C8"/>
                <w:sz w:val="20"/>
              </w:rPr>
            </w:pPr>
            <w:r>
              <w:rPr>
                <w:rFonts w:ascii="Lato Bold;sans-serif" w:hAnsi="Lato Bold;sans-serif"/>
                <w:b/>
                <w:color w:val="0046C8"/>
                <w:sz w:val="20"/>
              </w:rPr>
              <w:t>Additional Annual Grant of Restricted Share Units</w:t>
            </w:r>
          </w:p>
        </w:tc>
      </w:tr>
      <w:tr>
        <w:trPr/>
        <w:tc>
          <w:tcPr>
            <w:tcW w:w="4556" w:type="dxa"/>
            <w:gridSpan w:val="3"/>
            <w:vMerge w:val="restart"/>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2828925" cy="1600200"/>
                  <wp:effectExtent l="0" t="0" r="0" b="0"/>
                  <wp:docPr id="23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91" descr=""/>
                          <pic:cNvPicPr>
                            <a:picLocks noChangeAspect="1" noChangeArrowheads="1"/>
                          </pic:cNvPicPr>
                        </pic:nvPicPr>
                        <pic:blipFill>
                          <a:blip r:embed="rId192"/>
                          <a:stretch>
                            <a:fillRect/>
                          </a:stretch>
                        </pic:blipFill>
                        <pic:spPr bwMode="auto">
                          <a:xfrm>
                            <a:off x="0" y="0"/>
                            <a:ext cx="2828925" cy="1600200"/>
                          </a:xfrm>
                          <a:prstGeom prst="rect">
                            <a:avLst/>
                          </a:prstGeom>
                        </pic:spPr>
                      </pic:pic>
                    </a:graphicData>
                  </a:graphic>
                </wp:inline>
              </w:drawing>
            </w:r>
          </w:p>
        </w:tc>
        <w:tc>
          <w:tcPr>
            <w:tcW w:w="5649" w:type="dxa"/>
            <w:gridSpan w:val="6"/>
            <w:vMerge w:val="continue"/>
            <w:tcBorders>
              <w:top w:val="single" w:sz="8" w:space="0" w:color="0046C8"/>
              <w:bottom w:val="single" w:sz="4" w:space="0" w:color="B3B3B3"/>
            </w:tcBorders>
            <w:tcMar>
              <w:top w:w="30" w:type="dxa"/>
              <w:left w:w="0" w:type="dxa"/>
              <w:bottom w:w="30" w:type="dxa"/>
              <w:right w:w="0" w:type="dxa"/>
            </w:tcMar>
            <w:vAlign w:val="center"/>
          </w:tcPr>
          <w:p>
            <w:pPr>
              <w:pStyle w:val="Normal"/>
              <w:bidi w:val="0"/>
              <w:jc w:val="left"/>
              <w:rPr/>
            </w:pPr>
            <w:r>
              <w:rPr/>
            </w:r>
          </w:p>
        </w:tc>
      </w:tr>
      <w:tr>
        <w:trPr/>
        <w:tc>
          <w:tcPr>
            <w:tcW w:w="4556" w:type="dxa"/>
            <w:gridSpan w:val="3"/>
            <w:vMerge w:val="continue"/>
            <w:tcBorders/>
            <w:tcMar>
              <w:top w:w="0" w:type="dxa"/>
              <w:left w:w="0" w:type="dxa"/>
              <w:bottom w:w="0" w:type="dxa"/>
              <w:right w:w="0" w:type="dxa"/>
            </w:tcMar>
            <w:vAlign w:val="center"/>
          </w:tcPr>
          <w:p>
            <w:pPr>
              <w:pStyle w:val="Normal"/>
              <w:bidi w:val="0"/>
              <w:jc w:val="left"/>
              <w:rPr/>
            </w:pPr>
            <w:r>
              <w:rPr/>
            </w:r>
          </w:p>
        </w:tc>
        <w:tc>
          <w:tcPr>
            <w:tcW w:w="5649" w:type="dxa"/>
            <w:gridSpan w:val="6"/>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46C8"/>
                <w:sz w:val="20"/>
              </w:rPr>
            </w:pPr>
            <w:r>
              <w:rPr>
                <w:rFonts w:ascii="Lato Bold;sans-serif" w:hAnsi="Lato Bold;sans-serif"/>
                <w:b/>
                <w:color w:val="0046C8"/>
                <w:sz w:val="20"/>
              </w:rPr>
              <w:t>Committee Chairs</w:t>
            </w:r>
          </w:p>
        </w:tc>
      </w:tr>
      <w:tr>
        <w:trPr/>
        <w:tc>
          <w:tcPr>
            <w:tcW w:w="4556" w:type="dxa"/>
            <w:gridSpan w:val="3"/>
            <w:vMerge w:val="continue"/>
            <w:tcBorders/>
            <w:tcMar>
              <w:top w:w="0" w:type="dxa"/>
              <w:left w:w="0" w:type="dxa"/>
              <w:bottom w:w="0" w:type="dxa"/>
              <w:right w:w="0" w:type="dxa"/>
            </w:tcMar>
            <w:vAlign w:val="center"/>
          </w:tcPr>
          <w:p>
            <w:pPr>
              <w:pStyle w:val="Normal"/>
              <w:bidi w:val="0"/>
              <w:jc w:val="left"/>
              <w:rPr/>
            </w:pPr>
            <w:r>
              <w:rPr/>
            </w:r>
          </w:p>
        </w:tc>
        <w:tc>
          <w:tcPr>
            <w:tcW w:w="338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Audit</w:t>
            </w:r>
          </w:p>
        </w:tc>
        <w:tc>
          <w:tcPr>
            <w:tcW w:w="226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color w:val="0046C8"/>
                <w:sz w:val="20"/>
              </w:rPr>
            </w:pPr>
            <w:r>
              <w:rPr>
                <w:rFonts w:ascii="Lato Bold;sans-serif" w:hAnsi="Lato Bold;sans-serif"/>
                <w:b/>
                <w:color w:val="0046C8"/>
                <w:sz w:val="20"/>
              </w:rPr>
              <w:t>+$25,000</w:t>
            </w:r>
          </w:p>
        </w:tc>
      </w:tr>
      <w:tr>
        <w:trPr/>
        <w:tc>
          <w:tcPr>
            <w:tcW w:w="4556" w:type="dxa"/>
            <w:gridSpan w:val="3"/>
            <w:vMerge w:val="continue"/>
            <w:tcBorders/>
            <w:tcMar>
              <w:top w:w="0" w:type="dxa"/>
              <w:left w:w="0" w:type="dxa"/>
              <w:bottom w:w="0" w:type="dxa"/>
              <w:right w:w="0" w:type="dxa"/>
            </w:tcMar>
            <w:vAlign w:val="center"/>
          </w:tcPr>
          <w:p>
            <w:pPr>
              <w:pStyle w:val="Normal"/>
              <w:bidi w:val="0"/>
              <w:jc w:val="left"/>
              <w:rPr/>
            </w:pPr>
            <w:r>
              <w:rPr/>
            </w:r>
          </w:p>
        </w:tc>
        <w:tc>
          <w:tcPr>
            <w:tcW w:w="338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Management Development and Compensation</w:t>
            </w:r>
          </w:p>
        </w:tc>
        <w:tc>
          <w:tcPr>
            <w:tcW w:w="226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color w:val="0046C8"/>
                <w:sz w:val="20"/>
              </w:rPr>
            </w:pPr>
            <w:r>
              <w:rPr>
                <w:rFonts w:ascii="Lato Bold;sans-serif" w:hAnsi="Lato Bold;sans-serif"/>
                <w:b/>
                <w:color w:val="0046C8"/>
                <w:sz w:val="20"/>
              </w:rPr>
              <w:t>+$25,000</w:t>
            </w:r>
          </w:p>
        </w:tc>
      </w:tr>
      <w:tr>
        <w:trPr/>
        <w:tc>
          <w:tcPr>
            <w:tcW w:w="4556" w:type="dxa"/>
            <w:gridSpan w:val="3"/>
            <w:vMerge w:val="continue"/>
            <w:tcBorders/>
            <w:tcMar>
              <w:top w:w="0" w:type="dxa"/>
              <w:left w:w="0" w:type="dxa"/>
              <w:bottom w:w="0" w:type="dxa"/>
              <w:right w:w="0" w:type="dxa"/>
            </w:tcMar>
            <w:vAlign w:val="center"/>
          </w:tcPr>
          <w:p>
            <w:pPr>
              <w:pStyle w:val="Normal"/>
              <w:bidi w:val="0"/>
              <w:jc w:val="left"/>
              <w:rPr/>
            </w:pPr>
            <w:r>
              <w:rPr/>
            </w:r>
          </w:p>
        </w:tc>
        <w:tc>
          <w:tcPr>
            <w:tcW w:w="338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Nominating and Corporate Governance</w:t>
            </w:r>
          </w:p>
        </w:tc>
        <w:tc>
          <w:tcPr>
            <w:tcW w:w="226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color w:val="0046C8"/>
                <w:sz w:val="20"/>
              </w:rPr>
            </w:pPr>
            <w:r>
              <w:rPr>
                <w:rFonts w:ascii="Lato Bold;sans-serif" w:hAnsi="Lato Bold;sans-serif"/>
                <w:b/>
                <w:color w:val="0046C8"/>
                <w:sz w:val="20"/>
              </w:rPr>
              <w:t>+$25,000</w:t>
            </w:r>
          </w:p>
        </w:tc>
      </w:tr>
      <w:tr>
        <w:trPr/>
        <w:tc>
          <w:tcPr>
            <w:tcW w:w="4556" w:type="dxa"/>
            <w:gridSpan w:val="3"/>
            <w:vMerge w:val="continue"/>
            <w:tcBorders/>
            <w:tcMar>
              <w:top w:w="0" w:type="dxa"/>
              <w:left w:w="0" w:type="dxa"/>
              <w:bottom w:w="0" w:type="dxa"/>
              <w:right w:w="0" w:type="dxa"/>
            </w:tcMar>
            <w:vAlign w:val="center"/>
          </w:tcPr>
          <w:p>
            <w:pPr>
              <w:pStyle w:val="Normal"/>
              <w:bidi w:val="0"/>
              <w:jc w:val="left"/>
              <w:rPr/>
            </w:pPr>
            <w:r>
              <w:rPr/>
            </w:r>
          </w:p>
        </w:tc>
        <w:tc>
          <w:tcPr>
            <w:tcW w:w="338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Sustainability Subcommittee</w:t>
            </w:r>
          </w:p>
        </w:tc>
        <w:tc>
          <w:tcPr>
            <w:tcW w:w="226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color w:val="0046C8"/>
                <w:sz w:val="20"/>
              </w:rPr>
            </w:pPr>
            <w:r>
              <w:rPr>
                <w:rFonts w:ascii="Lato Bold;sans-serif" w:hAnsi="Lato Bold;sans-serif"/>
                <w:b/>
                <w:color w:val="0046C8"/>
                <w:sz w:val="20"/>
              </w:rPr>
              <w:t>+$20,000</w:t>
            </w:r>
          </w:p>
        </w:tc>
      </w:tr>
      <w:tr>
        <w:trPr/>
        <w:tc>
          <w:tcPr>
            <w:tcW w:w="4556" w:type="dxa"/>
            <w:gridSpan w:val="3"/>
            <w:vMerge w:val="continue"/>
            <w:tcBorders/>
            <w:tcMar>
              <w:top w:w="0" w:type="dxa"/>
              <w:left w:w="0" w:type="dxa"/>
              <w:bottom w:w="0" w:type="dxa"/>
              <w:right w:w="0" w:type="dxa"/>
            </w:tcMar>
            <w:vAlign w:val="center"/>
          </w:tcPr>
          <w:p>
            <w:pPr>
              <w:pStyle w:val="Normal"/>
              <w:bidi w:val="0"/>
              <w:jc w:val="left"/>
              <w:rPr/>
            </w:pPr>
            <w:r>
              <w:rPr/>
            </w:r>
          </w:p>
        </w:tc>
        <w:tc>
          <w:tcPr>
            <w:tcW w:w="338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46C8"/>
                <w:sz w:val="20"/>
              </w:rPr>
            </w:pPr>
            <w:r>
              <w:rPr>
                <w:rFonts w:ascii="Lato Bold;sans-serif" w:hAnsi="Lato Bold;sans-serif"/>
                <w:b/>
                <w:color w:val="0046C8"/>
                <w:sz w:val="20"/>
              </w:rPr>
              <w:t>Lead Director</w:t>
            </w:r>
          </w:p>
        </w:tc>
        <w:tc>
          <w:tcPr>
            <w:tcW w:w="226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color w:val="0046C8"/>
                <w:sz w:val="20"/>
              </w:rPr>
            </w:pPr>
            <w:r>
              <w:rPr>
                <w:rFonts w:ascii="Lato Bold;sans-serif" w:hAnsi="Lato Bold;sans-serif"/>
                <w:b/>
                <w:color w:val="0046C8"/>
                <w:sz w:val="20"/>
              </w:rPr>
              <w:t>+$30,000</w:t>
            </w:r>
          </w:p>
        </w:tc>
      </w:tr>
      <w:tr>
        <w:trPr/>
        <w:tc>
          <w:tcPr>
            <w:tcW w:w="4556"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6"/>
        <w:gridCol w:w="822"/>
        <w:gridCol w:w="825"/>
        <w:gridCol w:w="2231"/>
        <w:gridCol w:w="2231"/>
        <w:gridCol w:w="3160"/>
      </w:tblGrid>
      <w:tr>
        <w:trPr/>
        <w:tc>
          <w:tcPr>
            <w:tcW w:w="93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r>
      <w:tr>
        <w:trPr/>
        <w:tc>
          <w:tcPr>
            <w:tcW w:w="2583" w:type="dxa"/>
            <w:gridSpan w:val="3"/>
            <w:tcBorders>
              <w:top w:val="single" w:sz="8" w:space="0" w:color="00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2" w:type="dxa"/>
            <w:gridSpan w:val="3"/>
            <w:tcBorders>
              <w:top w:val="single" w:sz="8" w:space="0" w:color="00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3"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46C8"/>
                <w:sz w:val="24"/>
              </w:rPr>
            </w:pPr>
            <w:r>
              <w:rPr>
                <w:rFonts w:ascii="Lato;sans-serif" w:hAnsi="Lato;sans-serif"/>
                <w:b w:val="false"/>
                <w:color w:val="0046C8"/>
                <w:sz w:val="24"/>
              </w:rPr>
              <w:t>Stockholder Alignment</w:t>
            </w:r>
          </w:p>
        </w:tc>
        <w:tc>
          <w:tcPr>
            <w:tcW w:w="7622"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Restricted share units are not paid out until retirement or other termination of Board service</w:t>
            </w:r>
          </w:p>
        </w:tc>
      </w:tr>
      <w:tr>
        <w:trPr/>
        <w:tc>
          <w:tcPr>
            <w:tcW w:w="2583" w:type="dxa"/>
            <w:gridSpan w:val="3"/>
            <w:tcBorders>
              <w:bottom w:val="single" w:sz="8" w:space="0" w:color="0046C8"/>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22" w:type="dxa"/>
            <w:gridSpan w:val="3"/>
            <w:tcBorders>
              <w:bottom w:val="single" w:sz="8" w:space="0" w:color="0046C8"/>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New Outside Directors receive the full quarterly amount of the annual retainer for the quarter in which they join the Board. Their annual grant of restricted share units is pro-rated based on the date when they joined.</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We also reimburse Outside Directors for expenses incurred in attending Board or committee meetings.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Restricted share units are not shares of our common stock. Rather, restricted share units represent the right to receive a pre-determined number of shares of our common stock within 90 days following a “restricted period” that begins on the date of grant and expires on the date the Outside Director retires from or otherwise terminates service on the Board. In this way, they align the director’s interests with the interests of our stockholders. Outside Directors may not dispose of the units or use them in a pledge or similar transaction. Outside Directors also receive additional restricted share units equivalent in value to the dividends that would have been paid to them if the restricted share units granted to them were shares of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629920"/>
                <wp:effectExtent l="0" t="0" r="0" b="0"/>
                <wp:wrapNone/>
                <wp:docPr id="239" name="Frame4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42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42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188"/>
        <w:gridCol w:w="166"/>
        <w:gridCol w:w="167"/>
        <w:gridCol w:w="733"/>
        <w:gridCol w:w="733"/>
        <w:gridCol w:w="103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40"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92" descr=""/>
                          <pic:cNvPicPr>
                            <a:picLocks noChangeAspect="1" noChangeArrowheads="1"/>
                          </pic:cNvPicPr>
                        </pic:nvPicPr>
                        <pic:blipFill>
                          <a:blip r:embed="rId193"/>
                          <a:stretch>
                            <a:fillRect/>
                          </a:stretch>
                        </pic:blipFill>
                        <pic:spPr bwMode="auto">
                          <a:xfrm>
                            <a:off x="0" y="0"/>
                            <a:ext cx="228600" cy="180975"/>
                          </a:xfrm>
                          <a:prstGeom prst="rect">
                            <a:avLst/>
                          </a:prstGeom>
                        </pic:spPr>
                      </pic:pic>
                    </a:graphicData>
                  </a:graphic>
                </wp:inline>
              </w:drawing>
            </w: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Proposal 1: Election of directors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2024 Outside Director Compensation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following table shows the compensation paid to each Outside Director for his or her service in 2024.</w:t>
      </w:r>
    </w:p>
    <w:tbl>
      <w:tblPr>
        <w:tblW w:w="7830" w:type="dxa"/>
        <w:jc w:val="left"/>
        <w:tblInd w:w="0" w:type="dxa"/>
        <w:tblLayout w:type="fixed"/>
        <w:tblCellMar>
          <w:top w:w="28" w:type="dxa"/>
          <w:left w:w="28" w:type="dxa"/>
          <w:bottom w:w="28" w:type="dxa"/>
          <w:right w:w="28" w:type="dxa"/>
        </w:tblCellMar>
      </w:tblPr>
      <w:tblGrid>
        <w:gridCol w:w="826"/>
        <w:gridCol w:w="726"/>
        <w:gridCol w:w="728"/>
        <w:gridCol w:w="473"/>
        <w:gridCol w:w="473"/>
        <w:gridCol w:w="386"/>
        <w:gridCol w:w="473"/>
        <w:gridCol w:w="473"/>
        <w:gridCol w:w="351"/>
        <w:gridCol w:w="560"/>
        <w:gridCol w:w="560"/>
        <w:gridCol w:w="561"/>
        <w:gridCol w:w="473"/>
        <w:gridCol w:w="473"/>
        <w:gridCol w:w="294"/>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0000"/>
                <w:sz w:val="19"/>
              </w:rPr>
              <w:t>Name</w:t>
            </w:r>
            <w:r>
              <w:rPr>
                <w:rFonts w:ascii="Lato Bold;sans-serif" w:hAnsi="Lato Bold;sans-serif"/>
                <w:b/>
                <w:color w:val="000000"/>
                <w:sz w:val="12"/>
              </w:rPr>
              <w:t>(1)</w:t>
            </w:r>
          </w:p>
        </w:tc>
        <w:tc>
          <w:tcPr>
            <w:tcW w:w="13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Fees</w:t>
              <w:br/>
              <w:t>Earned</w:t>
              <w:br/>
              <w:t>or Paid in</w:t>
              <w:br/>
              <w:t>Cash</w:t>
              <w:br/>
              <w:t>($)</w:t>
            </w:r>
          </w:p>
        </w:tc>
        <w:tc>
          <w:tcPr>
            <w:tcW w:w="129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Stock</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Awards</w:t>
            </w:r>
          </w:p>
          <w:p>
            <w:pPr>
              <w:pStyle w:val="TableContents"/>
              <w:bidi w:val="0"/>
              <w:spacing w:lineRule="auto" w:line="288" w:before="0" w:after="0"/>
              <w:jc w:val="right"/>
              <w:rPr/>
            </w:pPr>
            <w:r>
              <w:rPr>
                <w:rFonts w:ascii="Lato Bold;sans-serif" w:hAnsi="Lato Bold;sans-serif"/>
                <w:b/>
                <w:color w:val="000000"/>
                <w:sz w:val="19"/>
              </w:rPr>
              <w:t>($)</w:t>
            </w:r>
            <w:r>
              <w:rPr>
                <w:rFonts w:ascii="Lato Bold;sans-serif" w:hAnsi="Lato Bold;sans-serif"/>
                <w:b/>
                <w:color w:val="000000"/>
                <w:sz w:val="12"/>
              </w:rPr>
              <w:t>(2)(3)(4)</w:t>
            </w:r>
          </w:p>
        </w:tc>
        <w:tc>
          <w:tcPr>
            <w:tcW w:w="16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All Other</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Compensation</w:t>
            </w:r>
          </w:p>
          <w:p>
            <w:pPr>
              <w:pStyle w:val="TableContents"/>
              <w:bidi w:val="0"/>
              <w:spacing w:lineRule="auto" w:line="288" w:before="0" w:after="0"/>
              <w:jc w:val="right"/>
              <w:rPr/>
            </w:pPr>
            <w:r>
              <w:rPr>
                <w:rFonts w:ascii="Lato Bold;sans-serif" w:hAnsi="Lato Bold;sans-serif"/>
                <w:b/>
                <w:color w:val="000000"/>
                <w:sz w:val="19"/>
              </w:rPr>
              <w:t>($)</w:t>
            </w:r>
            <w:r>
              <w:rPr>
                <w:rFonts w:ascii="Lato Bold;sans-serif" w:hAnsi="Lato Bold;sans-serif"/>
                <w:b/>
                <w:color w:val="000000"/>
                <w:sz w:val="12"/>
              </w:rPr>
              <w:t>(5)</w:t>
            </w:r>
          </w:p>
        </w:tc>
        <w:tc>
          <w:tcPr>
            <w:tcW w:w="12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Total</w:t>
            </w:r>
          </w:p>
          <w:p>
            <w:pPr>
              <w:pStyle w:val="TableContents"/>
              <w:bidi w:val="0"/>
              <w:spacing w:lineRule="auto" w:line="288" w:before="0" w:after="0"/>
              <w:jc w:val="right"/>
              <w:rPr/>
            </w:pPr>
            <w:r>
              <w:rPr>
                <w:rFonts w:ascii="Lato Bold;sans-serif" w:hAnsi="Lato Bold;sans-serif"/>
                <w:b/>
                <w:color w:val="000000"/>
                <w:sz w:val="19"/>
              </w:rPr>
              <w:t>($)</w:t>
            </w:r>
            <w:r>
              <w:rPr>
                <w:rFonts w:ascii="Lato Bold;sans-serif" w:hAnsi="Lato Bold;sans-serif"/>
                <w:b/>
                <w:color w:val="000000"/>
                <w:sz w:val="12"/>
              </w:rPr>
              <w:t>(6)</w:t>
            </w:r>
          </w:p>
        </w:tc>
      </w:tr>
      <w:tr>
        <w:trPr/>
        <w:tc>
          <w:tcPr>
            <w:tcW w:w="2280"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Sylvia M. Burwell</w:t>
            </w:r>
          </w:p>
        </w:tc>
        <w:tc>
          <w:tcPr>
            <w:tcW w:w="94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105,000 </w:t>
            </w:r>
          </w:p>
        </w:tc>
        <w:tc>
          <w:tcPr>
            <w:tcW w:w="38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185,000 </w:t>
            </w:r>
          </w:p>
        </w:tc>
        <w:tc>
          <w:tcPr>
            <w:tcW w:w="35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5,000 </w:t>
            </w:r>
          </w:p>
        </w:tc>
        <w:tc>
          <w:tcPr>
            <w:tcW w:w="56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295,000 </w:t>
            </w:r>
          </w:p>
        </w:tc>
        <w:tc>
          <w:tcPr>
            <w:tcW w:w="294"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John W. Culver</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105,000 </w:t>
            </w:r>
          </w:p>
        </w:tc>
        <w:tc>
          <w:tcPr>
            <w:tcW w:w="3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185,000 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10,000 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300,000 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Mae C. Jemison, M.D.</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105,000 </w:t>
            </w:r>
          </w:p>
        </w:tc>
        <w:tc>
          <w:tcPr>
            <w:tcW w:w="3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205,000 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10,000 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320,000 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Deeptha Khanna</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105,000 </w:t>
            </w:r>
          </w:p>
        </w:tc>
        <w:tc>
          <w:tcPr>
            <w:tcW w:w="3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185,000 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290,000 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S. Todd Maclin</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105,000 </w:t>
            </w:r>
          </w:p>
        </w:tc>
        <w:tc>
          <w:tcPr>
            <w:tcW w:w="3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185,000 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10,000 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300,000 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Deirdre A. Mahlan</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105,000 </w:t>
            </w:r>
          </w:p>
        </w:tc>
        <w:tc>
          <w:tcPr>
            <w:tcW w:w="3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185,000 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290,000 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Sherilyn S. McCoy</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105,000 </w:t>
            </w:r>
          </w:p>
        </w:tc>
        <w:tc>
          <w:tcPr>
            <w:tcW w:w="3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210,000 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10,000 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325,000 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Christa S. Quarles</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105,000 </w:t>
            </w:r>
          </w:p>
        </w:tc>
        <w:tc>
          <w:tcPr>
            <w:tcW w:w="3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185,000 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5,000 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295,000 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Jaime A. Ramirez</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105,000 </w:t>
            </w:r>
          </w:p>
        </w:tc>
        <w:tc>
          <w:tcPr>
            <w:tcW w:w="3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185,000 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290,000 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Joseph Romanelli</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26,250 </w:t>
            </w:r>
          </w:p>
        </w:tc>
        <w:tc>
          <w:tcPr>
            <w:tcW w:w="3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30,833 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57,083 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Dunia A. Shive</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105,000 </w:t>
            </w:r>
          </w:p>
        </w:tc>
        <w:tc>
          <w:tcPr>
            <w:tcW w:w="3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210,000 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315,000 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Mark T. Smucker</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105,000 </w:t>
            </w:r>
          </w:p>
        </w:tc>
        <w:tc>
          <w:tcPr>
            <w:tcW w:w="3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210,000 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315,000 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Michael D. White</w:t>
            </w:r>
          </w:p>
        </w:tc>
        <w:tc>
          <w:tcPr>
            <w:tcW w:w="94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52,500 </w:t>
            </w:r>
          </w:p>
        </w:tc>
        <w:tc>
          <w:tcPr>
            <w:tcW w:w="38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215,000 </w:t>
            </w:r>
          </w:p>
        </w:tc>
        <w:tc>
          <w:tcPr>
            <w:tcW w:w="35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6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267,500 </w:t>
            </w:r>
          </w:p>
        </w:tc>
        <w:tc>
          <w:tcPr>
            <w:tcW w:w="294"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(1)</w:t>
      </w:r>
      <w:r>
        <w:rPr>
          <w:rFonts w:ascii="Lato;sans-serif" w:hAnsi="Lato;sans-serif"/>
          <w:b w:val="false"/>
          <w:color w:val="000000"/>
          <w:sz w:val="16"/>
        </w:rPr>
        <w:t>Mr. White served as a director until his retirement on May 2, 2024 and received fees for two quarters. Mr. Romanelli joined the Board on November 13, 2024 and received a pro-rated stock award as well as fees for one quarter.</w:t>
      </w:r>
    </w:p>
    <w:p>
      <w:pPr>
        <w:pStyle w:val="TextBody"/>
        <w:bidi w:val="0"/>
        <w:spacing w:lineRule="auto" w:line="312" w:before="80" w:after="80"/>
        <w:ind w:left="0" w:right="0" w:hanging="216"/>
        <w:jc w:val="left"/>
        <w:rPr/>
      </w:pPr>
      <w:r>
        <w:rPr>
          <w:rFonts w:ascii="Lato;sans-serif" w:hAnsi="Lato;sans-serif"/>
          <w:b w:val="false"/>
          <w:color w:val="000000"/>
          <w:sz w:val="10"/>
        </w:rPr>
        <w:t>(2)</w:t>
      </w:r>
      <w:r>
        <w:rPr>
          <w:rFonts w:ascii="Lato;sans-serif" w:hAnsi="Lato;sans-serif"/>
          <w:b w:val="false"/>
          <w:color w:val="000000"/>
          <w:sz w:val="16"/>
        </w:rPr>
        <w:t>Amounts shown reflect the grant date fair value of those grants, determined in accordance with Financial Accounting Standards Board (“FASB”) Accounting Standards Codification (“ASC”) Topic 718 — Stock Compensation (“ASC Topic 718”) for restricted share unit awards granted pursuant to our 2021 Outside Directors’ Compensation Plan. See Note 7 to our audited consolidated financial statements included in our Annual Report on Form 10-K for 2024 for the assumptions used in valuing these restricted share units.</w:t>
      </w:r>
    </w:p>
    <w:p>
      <w:pPr>
        <w:pStyle w:val="TextBody"/>
        <w:bidi w:val="0"/>
        <w:spacing w:lineRule="auto" w:line="312" w:before="80" w:after="120"/>
        <w:ind w:left="0" w:right="0" w:hanging="216"/>
        <w:jc w:val="left"/>
        <w:rPr/>
      </w:pPr>
      <w:r>
        <w:rPr>
          <w:rFonts w:ascii="Lato;sans-serif" w:hAnsi="Lato;sans-serif"/>
          <w:b w:val="false"/>
          <w:color w:val="000000"/>
          <w:sz w:val="10"/>
        </w:rPr>
        <w:t>(3)</w:t>
      </w:r>
      <w:r>
        <w:rPr>
          <w:rFonts w:ascii="Lato;sans-serif" w:hAnsi="Lato;sans-serif"/>
          <w:b w:val="false"/>
          <w:color w:val="000000"/>
          <w:sz w:val="16"/>
        </w:rPr>
        <w:t>Restricted share unit awards were granted to the Outside Directors on January 2, 2024, except for Mr. Romanelli who joined the Board and received a grant on November 13, 2024. The number of restricted share units granted is set forth below:</w:t>
      </w:r>
    </w:p>
    <w:tbl>
      <w:tblPr>
        <w:tblW w:w="5938" w:type="dxa"/>
        <w:jc w:val="left"/>
        <w:tblInd w:w="0" w:type="dxa"/>
        <w:tblLayout w:type="fixed"/>
        <w:tblCellMar>
          <w:top w:w="28" w:type="dxa"/>
          <w:left w:w="28" w:type="dxa"/>
          <w:bottom w:w="28" w:type="dxa"/>
          <w:right w:w="28" w:type="dxa"/>
        </w:tblCellMar>
      </w:tblPr>
      <w:tblGrid>
        <w:gridCol w:w="748"/>
        <w:gridCol w:w="658"/>
        <w:gridCol w:w="663"/>
        <w:gridCol w:w="1133"/>
        <w:gridCol w:w="1133"/>
        <w:gridCol w:w="1603"/>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Name</w:t>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Restricted Share Unit Grants in 2024(#)</w:t>
            </w:r>
          </w:p>
        </w:tc>
      </w:tr>
      <w:tr>
        <w:trPr/>
        <w:tc>
          <w:tcPr>
            <w:tcW w:w="206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Sylvia M. Burwell</w:t>
            </w:r>
          </w:p>
        </w:tc>
        <w:tc>
          <w:tcPr>
            <w:tcW w:w="226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1,512 </w:t>
            </w:r>
          </w:p>
        </w:tc>
        <w:tc>
          <w:tcPr>
            <w:tcW w:w="1603"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John W. Culver</w:t>
            </w:r>
          </w:p>
        </w:tc>
        <w:tc>
          <w:tcPr>
            <w:tcW w:w="22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1,512 </w:t>
            </w:r>
          </w:p>
        </w:tc>
        <w:tc>
          <w:tcPr>
            <w:tcW w:w="160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Mae C. Jemison, M.D.</w:t>
            </w:r>
          </w:p>
        </w:tc>
        <w:tc>
          <w:tcPr>
            <w:tcW w:w="22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1,675 </w:t>
            </w:r>
          </w:p>
        </w:tc>
        <w:tc>
          <w:tcPr>
            <w:tcW w:w="160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Deeptha Khanna</w:t>
            </w:r>
          </w:p>
        </w:tc>
        <w:tc>
          <w:tcPr>
            <w:tcW w:w="22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1,512 </w:t>
            </w:r>
          </w:p>
        </w:tc>
        <w:tc>
          <w:tcPr>
            <w:tcW w:w="160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S. Todd Maclin</w:t>
            </w:r>
          </w:p>
        </w:tc>
        <w:tc>
          <w:tcPr>
            <w:tcW w:w="22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1,512 </w:t>
            </w:r>
          </w:p>
        </w:tc>
        <w:tc>
          <w:tcPr>
            <w:tcW w:w="160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Deirdre A. Mahlan</w:t>
            </w:r>
          </w:p>
        </w:tc>
        <w:tc>
          <w:tcPr>
            <w:tcW w:w="22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1,512 </w:t>
            </w:r>
          </w:p>
        </w:tc>
        <w:tc>
          <w:tcPr>
            <w:tcW w:w="160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Sherilyn S. McCoy</w:t>
            </w:r>
          </w:p>
        </w:tc>
        <w:tc>
          <w:tcPr>
            <w:tcW w:w="22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1,716 </w:t>
            </w:r>
          </w:p>
        </w:tc>
        <w:tc>
          <w:tcPr>
            <w:tcW w:w="160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Christa S. Quarles</w:t>
            </w:r>
          </w:p>
        </w:tc>
        <w:tc>
          <w:tcPr>
            <w:tcW w:w="22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1,512 </w:t>
            </w:r>
          </w:p>
        </w:tc>
        <w:tc>
          <w:tcPr>
            <w:tcW w:w="160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Jaime A. Ramirez</w:t>
            </w:r>
          </w:p>
        </w:tc>
        <w:tc>
          <w:tcPr>
            <w:tcW w:w="22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1,512 </w:t>
            </w:r>
          </w:p>
        </w:tc>
        <w:tc>
          <w:tcPr>
            <w:tcW w:w="160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Joseph Romanelli</w:t>
            </w:r>
          </w:p>
        </w:tc>
        <w:tc>
          <w:tcPr>
            <w:tcW w:w="22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233 </w:t>
            </w:r>
          </w:p>
        </w:tc>
        <w:tc>
          <w:tcPr>
            <w:tcW w:w="160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Dunia A. Shive</w:t>
            </w:r>
          </w:p>
        </w:tc>
        <w:tc>
          <w:tcPr>
            <w:tcW w:w="22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1,716 </w:t>
            </w:r>
          </w:p>
        </w:tc>
        <w:tc>
          <w:tcPr>
            <w:tcW w:w="160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Mark T. Smucker</w:t>
            </w:r>
          </w:p>
        </w:tc>
        <w:tc>
          <w:tcPr>
            <w:tcW w:w="226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1,716 </w:t>
            </w:r>
          </w:p>
        </w:tc>
        <w:tc>
          <w:tcPr>
            <w:tcW w:w="160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Michael D. White</w:t>
            </w:r>
          </w:p>
        </w:tc>
        <w:tc>
          <w:tcPr>
            <w:tcW w:w="226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1,757 </w:t>
            </w:r>
          </w:p>
        </w:tc>
        <w:tc>
          <w:tcPr>
            <w:tcW w:w="1603"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629920"/>
                <wp:effectExtent l="0" t="0" r="0" b="0"/>
                <wp:wrapNone/>
                <wp:docPr id="241" name="Frame4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43</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895"/>
        <w:gridCol w:w="788"/>
        <w:gridCol w:w="791"/>
        <w:gridCol w:w="161"/>
        <w:gridCol w:w="161"/>
        <w:gridCol w:w="22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Proposal 1: Election of directors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42"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93" descr=""/>
                          <pic:cNvPicPr>
                            <a:picLocks noChangeAspect="1" noChangeArrowheads="1"/>
                          </pic:cNvPicPr>
                        </pic:nvPicPr>
                        <pic:blipFill>
                          <a:blip r:embed="rId194"/>
                          <a:stretch>
                            <a:fillRect/>
                          </a:stretch>
                        </pic:blipFill>
                        <pic:spPr bwMode="auto">
                          <a:xfrm>
                            <a:off x="0" y="0"/>
                            <a:ext cx="228600" cy="180975"/>
                          </a:xfrm>
                          <a:prstGeom prst="rect">
                            <a:avLst/>
                          </a:prstGeom>
                        </pic:spPr>
                      </pic:pic>
                    </a:graphicData>
                  </a:graphic>
                </wp:inline>
              </w:drawing>
            </w:r>
            <w:r>
              <w:rPr>
                <w:color w:val="000000"/>
              </w:rPr>
              <w:t> </w:t>
            </w:r>
          </w:p>
        </w:tc>
      </w:tr>
      <w:tr>
        <w:trPr/>
        <w:tc>
          <w:tcPr>
            <w:tcW w:w="24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(4)</w:t>
      </w:r>
      <w:r>
        <w:rPr>
          <w:rFonts w:ascii="Lato;sans-serif" w:hAnsi="Lato;sans-serif"/>
          <w:b w:val="false"/>
          <w:color w:val="000000"/>
          <w:sz w:val="16"/>
        </w:rPr>
        <w:t>As of December 31, 2024, Outside Directors had the following stock awards outstanding:</w:t>
      </w:r>
    </w:p>
    <w:tbl>
      <w:tblPr>
        <w:tblW w:w="3584" w:type="dxa"/>
        <w:jc w:val="left"/>
        <w:tblInd w:w="0" w:type="dxa"/>
        <w:tblLayout w:type="fixed"/>
        <w:tblCellMar>
          <w:top w:w="28" w:type="dxa"/>
          <w:left w:w="28" w:type="dxa"/>
          <w:bottom w:w="28" w:type="dxa"/>
          <w:right w:w="28" w:type="dxa"/>
        </w:tblCellMar>
      </w:tblPr>
      <w:tblGrid>
        <w:gridCol w:w="748"/>
        <w:gridCol w:w="658"/>
        <w:gridCol w:w="663"/>
        <w:gridCol w:w="443"/>
        <w:gridCol w:w="443"/>
        <w:gridCol w:w="629"/>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Name</w:t>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Restricted</w:t>
              <w:br/>
              <w:t>Share Units(#)</w:t>
            </w:r>
          </w:p>
        </w:tc>
      </w:tr>
      <w:tr>
        <w:trPr/>
        <w:tc>
          <w:tcPr>
            <w:tcW w:w="206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Sylvia M. Burwell</w:t>
            </w:r>
          </w:p>
        </w:tc>
        <w:tc>
          <w:tcPr>
            <w:tcW w:w="88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4,072 </w:t>
            </w:r>
          </w:p>
        </w:tc>
        <w:tc>
          <w:tcPr>
            <w:tcW w:w="629"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John W. Culver</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6,434 </w:t>
            </w:r>
          </w:p>
        </w:tc>
        <w:tc>
          <w:tcPr>
            <w:tcW w:w="62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Mae C. Jemison, M.D.</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59,188 </w:t>
            </w:r>
          </w:p>
        </w:tc>
        <w:tc>
          <w:tcPr>
            <w:tcW w:w="62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Deeptha Khanna</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2,065 </w:t>
            </w:r>
          </w:p>
        </w:tc>
        <w:tc>
          <w:tcPr>
            <w:tcW w:w="62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S. Todd Maclin</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8,663 </w:t>
            </w:r>
          </w:p>
        </w:tc>
        <w:tc>
          <w:tcPr>
            <w:tcW w:w="62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Deirdre A. Mahlan</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4,914 </w:t>
            </w:r>
          </w:p>
        </w:tc>
        <w:tc>
          <w:tcPr>
            <w:tcW w:w="62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Sherilyn S. McCoy</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10,635 </w:t>
            </w:r>
          </w:p>
        </w:tc>
        <w:tc>
          <w:tcPr>
            <w:tcW w:w="62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Christa S. Quarles</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14,392 </w:t>
            </w:r>
          </w:p>
        </w:tc>
        <w:tc>
          <w:tcPr>
            <w:tcW w:w="62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Jaime A. Ramirez</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4,914 </w:t>
            </w:r>
          </w:p>
        </w:tc>
        <w:tc>
          <w:tcPr>
            <w:tcW w:w="62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Joseph Romanelli</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233 </w:t>
            </w:r>
          </w:p>
        </w:tc>
        <w:tc>
          <w:tcPr>
            <w:tcW w:w="62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Dunia A. Shive</w:t>
            </w:r>
          </w:p>
        </w:tc>
        <w:tc>
          <w:tcPr>
            <w:tcW w:w="8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9,354 </w:t>
            </w:r>
          </w:p>
        </w:tc>
        <w:tc>
          <w:tcPr>
            <w:tcW w:w="62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Mark T. Smucker</w:t>
            </w:r>
          </w:p>
        </w:tc>
        <w:tc>
          <w:tcPr>
            <w:tcW w:w="88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8,272 </w:t>
            </w:r>
          </w:p>
        </w:tc>
        <w:tc>
          <w:tcPr>
            <w:tcW w:w="629"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(5)</w:t>
      </w:r>
      <w:r>
        <w:rPr>
          <w:rFonts w:ascii="Lato;sans-serif" w:hAnsi="Lato;sans-serif"/>
          <w:b w:val="false"/>
          <w:color w:val="000000"/>
          <w:sz w:val="16"/>
        </w:rPr>
        <w:t>Reflects charitable matching gifts paid in 2024 under the Kimberly-Clark Foundation’s Matching Gifts Program to a charity designated by the director. This program is available to all our employees and directors. Under the program, the Kimberly-Clark Foundation matches employees’ and directors’ financial contributions to qualified educational and charitable organizations in the United States on a dollar-for-dollar basis, up to $10,000 per person per calendar year. Amounts paid in 2024 in connection with certain matching gifts for Messrs. Culver and Maclin, and Mmes. Burwell, Jemison, McCoy and Quarles reflect donations made in 2023. Not included in this column is the value of retirement gifts to Mr. White, which had a value of less than $1,000. In addition, we made a charitable contribution of $50,000 in honor of Mr. White. This contribution was made directly by Kimberly-Clark to a charitable organization selected by Kimberly-Clark and was not made in the name or at the direction of Mr. White. Mr. White did not receive any personal benefit from the contribution and accordingly, the amount of the contribution has been excluded from the Director Compensation table.</w:t>
      </w:r>
    </w:p>
    <w:p>
      <w:pPr>
        <w:pStyle w:val="TextBody"/>
        <w:bidi w:val="0"/>
        <w:spacing w:lineRule="auto" w:line="312" w:before="80" w:after="80"/>
        <w:ind w:left="0" w:right="0" w:hanging="216"/>
        <w:jc w:val="left"/>
        <w:rPr/>
      </w:pPr>
      <w:r>
        <w:rPr>
          <w:rFonts w:ascii="Lato;sans-serif" w:hAnsi="Lato;sans-serif"/>
          <w:b w:val="false"/>
          <w:color w:val="000000"/>
          <w:sz w:val="10"/>
        </w:rPr>
        <w:t>(6)</w:t>
      </w:r>
      <w:r>
        <w:rPr>
          <w:rFonts w:ascii="Lato;sans-serif" w:hAnsi="Lato;sans-serif"/>
          <w:b w:val="false"/>
          <w:color w:val="000000"/>
          <w:sz w:val="16"/>
        </w:rPr>
        <w:t>During 2024, Outside Directors received additional restricted share units with a value equal to the cash dividends paid during the year on our common stock on the restricted share units held by them. Because we factor the value of the right to receive dividends into the grant date fair value of the restricted share units awards, the dividend equivalents received by Outside Directors are not included in the Outside Director Compensation table. The additional restricted share units credited in 2024 were as follows:</w:t>
      </w:r>
    </w:p>
    <w:tbl>
      <w:tblPr>
        <w:tblW w:w="5772" w:type="dxa"/>
        <w:jc w:val="left"/>
        <w:tblInd w:w="0" w:type="dxa"/>
        <w:tblLayout w:type="fixed"/>
        <w:tblCellMar>
          <w:top w:w="28" w:type="dxa"/>
          <w:left w:w="28" w:type="dxa"/>
          <w:bottom w:w="28" w:type="dxa"/>
          <w:right w:w="28" w:type="dxa"/>
        </w:tblCellMar>
      </w:tblPr>
      <w:tblGrid>
        <w:gridCol w:w="748"/>
        <w:gridCol w:w="658"/>
        <w:gridCol w:w="663"/>
        <w:gridCol w:w="649"/>
        <w:gridCol w:w="649"/>
        <w:gridCol w:w="651"/>
        <w:gridCol w:w="513"/>
        <w:gridCol w:w="513"/>
        <w:gridCol w:w="728"/>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Name</w:t>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Number of</w:t>
              <w:br/>
              <w:t>Restricted</w:t>
              <w:br/>
              <w:t>Share Units</w:t>
              <w:br/>
              <w:t>Credited in 2024(#)</w:t>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Grant Date</w:t>
              <w:br/>
              <w:t>Fair Value of</w:t>
              <w:br/>
              <w:t>Restricted Share</w:t>
              <w:br/>
              <w:t>Units Credited($)</w:t>
            </w:r>
          </w:p>
        </w:tc>
      </w:tr>
      <w:tr>
        <w:trPr/>
        <w:tc>
          <w:tcPr>
            <w:tcW w:w="206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Sylvia M. Burwell</w:t>
            </w:r>
          </w:p>
        </w:tc>
        <w:tc>
          <w:tcPr>
            <w:tcW w:w="1298"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131.54 </w:t>
            </w:r>
          </w:p>
        </w:tc>
        <w:tc>
          <w:tcPr>
            <w:tcW w:w="65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17,510 </w:t>
            </w:r>
          </w:p>
        </w:tc>
        <w:tc>
          <w:tcPr>
            <w:tcW w:w="728"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John W. Culver</w:t>
            </w:r>
          </w:p>
        </w:tc>
        <w:tc>
          <w:tcPr>
            <w:tcW w:w="12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216.25 </w:t>
            </w:r>
          </w:p>
        </w:tc>
        <w:tc>
          <w:tcPr>
            <w:tcW w:w="6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28,690 </w:t>
            </w:r>
          </w:p>
        </w:tc>
        <w:tc>
          <w:tcPr>
            <w:tcW w:w="72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Mae C. Jemison, M.D.</w:t>
            </w:r>
          </w:p>
        </w:tc>
        <w:tc>
          <w:tcPr>
            <w:tcW w:w="12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2,106.82 </w:t>
            </w:r>
          </w:p>
        </w:tc>
        <w:tc>
          <w:tcPr>
            <w:tcW w:w="6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278,232 </w:t>
            </w:r>
          </w:p>
        </w:tc>
        <w:tc>
          <w:tcPr>
            <w:tcW w:w="72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Deeptha Khanna</w:t>
            </w:r>
          </w:p>
        </w:tc>
        <w:tc>
          <w:tcPr>
            <w:tcW w:w="12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59.53 </w:t>
            </w:r>
          </w:p>
        </w:tc>
        <w:tc>
          <w:tcPr>
            <w:tcW w:w="6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8,006 </w:t>
            </w:r>
          </w:p>
        </w:tc>
        <w:tc>
          <w:tcPr>
            <w:tcW w:w="72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S. Todd Maclin</w:t>
            </w:r>
          </w:p>
        </w:tc>
        <w:tc>
          <w:tcPr>
            <w:tcW w:w="12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296.20 </w:t>
            </w:r>
          </w:p>
        </w:tc>
        <w:tc>
          <w:tcPr>
            <w:tcW w:w="6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39,243 </w:t>
            </w:r>
          </w:p>
        </w:tc>
        <w:tc>
          <w:tcPr>
            <w:tcW w:w="72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Deirdre A. Mahlan</w:t>
            </w:r>
          </w:p>
        </w:tc>
        <w:tc>
          <w:tcPr>
            <w:tcW w:w="12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161.72 </w:t>
            </w:r>
          </w:p>
        </w:tc>
        <w:tc>
          <w:tcPr>
            <w:tcW w:w="6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21,493 </w:t>
            </w:r>
          </w:p>
        </w:tc>
        <w:tc>
          <w:tcPr>
            <w:tcW w:w="72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Sherilyn S. McCoy</w:t>
            </w:r>
          </w:p>
        </w:tc>
        <w:tc>
          <w:tcPr>
            <w:tcW w:w="12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364.97 </w:t>
            </w:r>
          </w:p>
        </w:tc>
        <w:tc>
          <w:tcPr>
            <w:tcW w:w="6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48,340 </w:t>
            </w:r>
          </w:p>
        </w:tc>
        <w:tc>
          <w:tcPr>
            <w:tcW w:w="72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Christa S. Quarles</w:t>
            </w:r>
          </w:p>
        </w:tc>
        <w:tc>
          <w:tcPr>
            <w:tcW w:w="12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501.69 </w:t>
            </w:r>
          </w:p>
        </w:tc>
        <w:tc>
          <w:tcPr>
            <w:tcW w:w="6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66,365 </w:t>
            </w:r>
          </w:p>
        </w:tc>
        <w:tc>
          <w:tcPr>
            <w:tcW w:w="72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Jaime A. Ramirez</w:t>
            </w:r>
          </w:p>
        </w:tc>
        <w:tc>
          <w:tcPr>
            <w:tcW w:w="12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161.72 </w:t>
            </w:r>
          </w:p>
        </w:tc>
        <w:tc>
          <w:tcPr>
            <w:tcW w:w="6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21,493 </w:t>
            </w:r>
          </w:p>
        </w:tc>
        <w:tc>
          <w:tcPr>
            <w:tcW w:w="72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Joseph Romanelli</w:t>
            </w:r>
          </w:p>
        </w:tc>
        <w:tc>
          <w:tcPr>
            <w:tcW w:w="12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Dunia A. Shive</w:t>
            </w:r>
          </w:p>
        </w:tc>
        <w:tc>
          <w:tcPr>
            <w:tcW w:w="12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319.03 </w:t>
            </w:r>
          </w:p>
        </w:tc>
        <w:tc>
          <w:tcPr>
            <w:tcW w:w="6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42,276 </w:t>
            </w:r>
          </w:p>
        </w:tc>
        <w:tc>
          <w:tcPr>
            <w:tcW w:w="72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Mark T. Smucker</w:t>
            </w:r>
          </w:p>
        </w:tc>
        <w:tc>
          <w:tcPr>
            <w:tcW w:w="129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280.22 </w:t>
            </w:r>
          </w:p>
        </w:tc>
        <w:tc>
          <w:tcPr>
            <w:tcW w:w="6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37,153 </w:t>
            </w:r>
          </w:p>
        </w:tc>
        <w:tc>
          <w:tcPr>
            <w:tcW w:w="728"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Michael D. White</w:t>
            </w:r>
          </w:p>
        </w:tc>
        <w:tc>
          <w:tcPr>
            <w:tcW w:w="1298"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308.91 </w:t>
            </w:r>
          </w:p>
        </w:tc>
        <w:tc>
          <w:tcPr>
            <w:tcW w:w="65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38,574 </w:t>
            </w:r>
          </w:p>
        </w:tc>
        <w:tc>
          <w:tcPr>
            <w:tcW w:w="728"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Other than the cash retainer, grants of restricted share units and the other compensation previously described, no Outside Director received any compensation or perquisites from Kimberly-Clark for services as a director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629920"/>
                <wp:effectExtent l="0" t="0" r="0" b="0"/>
                <wp:wrapNone/>
                <wp:docPr id="243" name="Frame5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44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44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025" w:type="dxa"/>
        <w:jc w:val="left"/>
        <w:tblInd w:w="0" w:type="dxa"/>
        <w:tblLayout w:type="fixed"/>
        <w:tblCellMar>
          <w:top w:w="28" w:type="dxa"/>
          <w:left w:w="28" w:type="dxa"/>
          <w:bottom w:w="28" w:type="dxa"/>
          <w:right w:w="28" w:type="dxa"/>
        </w:tblCellMar>
      </w:tblPr>
      <w:tblGrid>
        <w:gridCol w:w="188"/>
        <w:gridCol w:w="166"/>
        <w:gridCol w:w="167"/>
        <w:gridCol w:w="733"/>
        <w:gridCol w:w="733"/>
        <w:gridCol w:w="103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4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94" descr=""/>
                          <pic:cNvPicPr>
                            <a:picLocks noChangeAspect="1" noChangeArrowheads="1"/>
                          </pic:cNvPicPr>
                        </pic:nvPicPr>
                        <pic:blipFill>
                          <a:blip r:embed="rId195"/>
                          <a:stretch>
                            <a:fillRect/>
                          </a:stretch>
                        </pic:blipFill>
                        <pic:spPr bwMode="auto">
                          <a:xfrm>
                            <a:off x="0" y="0"/>
                            <a:ext cx="228600" cy="180975"/>
                          </a:xfrm>
                          <a:prstGeom prst="rect">
                            <a:avLst/>
                          </a:prstGeom>
                        </pic:spPr>
                      </pic:pic>
                    </a:graphicData>
                  </a:graphic>
                </wp:inline>
              </w:drawing>
            </w: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Proposal 1: Election of directors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 director who is not an Outside Director does not receive any compensation for services as a member of the Board or any committee, but is reimbursed for expenses incurred as a result of the services.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2024, the Nominating and Corporate Governance Committee, with the assistance of Mercer, revisited the Corporation’s Outside Director compensation to assess whether it still met our objectives as described above. In its assessment, the Committee compared aggregate Outside Director cash and equity compensation to the median compensation of the outside directors of our peer group, as well as the structure of our compensation programs of our peer group. For information regarding our peer group, see “Compensation Discussion and Analysis” below. Based on this review, the Committee determined that the aggregate compensation for our Outside Directors would be below the median of our peer group in 2025. The Committee then recommended to the Board, and the Board approved, changes to our Outside Directors aggregate compensation to more closely align with the median aggregate compensation of our peer group. Accordingly, beginning in 2025, the value of the annual grant of restricted share units is increased from $185,000 to $195,000.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629920"/>
                <wp:effectExtent l="0" t="0" r="0" b="0"/>
                <wp:wrapNone/>
                <wp:docPr id="245" name="Frame5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45</w:t>
                            </w:r>
                          </w:p>
                        </w:tc>
                      </w:tr>
                    </w:tbl>
                    <w:p>
                      <w:pPr>
                        <w:pStyle w:val="TextBody"/>
                        <w:bidi w:val="0"/>
                        <w:spacing w:before="0" w:after="283"/>
                        <w:jc w:val="left"/>
                        <w:rPr/>
                      </w:pPr>
                      <w:r>
                        <w:rPr/>
                      </w:r>
                    </w:p>
                  </w:txbxContent>
                </v:textbox>
                <w10:wrap type="none"/>
              </v:rect>
            </w:pict>
          </mc:Fallback>
        </mc:AlternateContent>
      </w:r>
    </w:p>
    <w:tbl>
      <w:tblPr>
        <w:tblW w:w="893" w:type="dxa"/>
        <w:jc w:val="left"/>
        <w:tblInd w:w="0" w:type="dxa"/>
        <w:tblLayout w:type="fixed"/>
        <w:tblCellMar>
          <w:top w:w="28" w:type="dxa"/>
          <w:left w:w="28" w:type="dxa"/>
          <w:bottom w:w="28" w:type="dxa"/>
          <w:right w:w="28" w:type="dxa"/>
        </w:tblCellMar>
      </w:tblPr>
      <w:tblGrid>
        <w:gridCol w:w="124"/>
        <w:gridCol w:w="109"/>
        <w:gridCol w:w="109"/>
        <w:gridCol w:w="161"/>
        <w:gridCol w:w="161"/>
        <w:gridCol w:w="2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46"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95" descr=""/>
                          <pic:cNvPicPr>
                            <a:picLocks noChangeAspect="1" noChangeArrowheads="1"/>
                          </pic:cNvPicPr>
                        </pic:nvPicPr>
                        <pic:blipFill>
                          <a:blip r:embed="rId196"/>
                          <a:stretch>
                            <a:fillRect/>
                          </a:stretch>
                        </pic:blipFill>
                        <pic:spPr bwMode="auto">
                          <a:xfrm>
                            <a:off x="0" y="0"/>
                            <a:ext cx="228600" cy="180975"/>
                          </a:xfrm>
                          <a:prstGeom prst="rect">
                            <a:avLst/>
                          </a:prstGeom>
                        </pic:spPr>
                      </pic:pic>
                    </a:graphicData>
                  </a:graphic>
                </wp:inline>
              </w:drawing>
            </w:r>
            <w:r>
              <w:rPr>
                <w:color w:val="000000"/>
              </w:rPr>
              <w:t> </w:t>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120"/>
        <w:jc w:val="left"/>
        <w:rPr>
          <w:rFonts w:ascii="Lato;sans-serif" w:hAnsi="Lato;sans-serif"/>
          <w:b w:val="false"/>
          <w:color w:val="0046C8"/>
          <w:sz w:val="48"/>
        </w:rPr>
      </w:pPr>
      <w:r>
        <w:rPr>
          <w:rFonts w:ascii="Lato;sans-serif" w:hAnsi="Lato;sans-serif"/>
          <w:b w:val="false"/>
          <w:color w:val="0046C8"/>
          <w:sz w:val="48"/>
        </w:rPr>
        <w:t>Proposal 2 – Ratification of Auditor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Audit Committee of the Board of Directors is directly responsible for the appointment, compensation, retention and oversight of our independent auditor. The Audit Committee is also responsible for overseeing the negotiation of the audit fees associated with retaining our independent auditor. To assure continuing auditor independence, the Audit Committee periodically considers whether a different audit firm should perform our independent audit work. Also, in connection with the mandated rotation of the independent auditor’s lead engagement partner, the Audit Committee and its chair are directly involved in the selection of the new lead engagement partner.</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For 2025, the Audit Committee has selected Deloitte &amp; Touche LLP (along with its member firms and affiliates, “Deloitte”) as the independent registered public accounting firm to audit our financial statements. In engaging Deloitte for 2025, the Audit Committee utilized a review and selection process that included the following:</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 review of management’s assessment of the services Deloitte provided in 2024 and a comparison of this assessment to prior years’ reviews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discussions, in executive session, with the Chief Financial Officer and the Vice President and Controller regarding their viewpoints on the selection of the 2025 independent auditor and on Deloitte’s performance</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discussions, in executive session, with representatives of Deloitte about their possible engagement</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Audit Committee discussions, in executive session, about the selection of the 2025 independent auditor</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 review and approval of Deloitte’s proposed estimated fees for 2025</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 review and assessment of Deloitte’s independence</w:t>
      </w:r>
    </w:p>
    <w:p>
      <w:pPr>
        <w:pStyle w:val="TextBody"/>
        <w:bidi w:val="0"/>
        <w:spacing w:lineRule="auto" w:line="312" w:before="80" w:after="120"/>
        <w:ind w:left="0" w:right="0" w:hanging="216"/>
        <w:jc w:val="left"/>
        <w:rPr/>
      </w:pPr>
      <w:r>
        <w:rPr>
          <w:color w:val="0046C8"/>
        </w:rPr>
        <w:t>•</w:t>
      </w:r>
      <w:r>
        <w:rPr>
          <w:rFonts w:ascii="Lato;sans-serif" w:hAnsi="Lato;sans-serif"/>
          <w:b w:val="false"/>
          <w:color w:val="000000"/>
          <w:sz w:val="19"/>
        </w:rPr>
        <w:t>the Audit Committee’s consideration of the fact that Deloitte has served as our independent auditor since 1928, including its understanding of our global business, accounting policies and practices, and internal control over financial reporting, and its conclusion that its term of service does not impact Deloitte’s independence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Audit Committee and the Board believe that the continued retention of Deloitte to serve as our independent auditor is in the best interests of Kimberly-Clark and its stockholders, and they recommend that stockholders ratify this selection. If the stockholders do not ratify the selection of Deloitte, the Audit Committee will consider the selection of another independent auditor.</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Representatives of Deloitte are expected to be present at the Annual Meeting with the opportunity to make a statement if they desire to do so and will be available to respond to appropriate questions.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6C8"/>
              <w:left w:val="single" w:sz="8" w:space="0" w:color="00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46C8"/>
              <w:right w:val="single" w:sz="8" w:space="0" w:color="0046C8"/>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Board of Directors unanimously recommends a vote FOR ratification of Deloitte’s selection as Kimberly-Clark’s auditor for 2025.</w:t>
            </w:r>
          </w:p>
        </w:tc>
        <w:tc>
          <w:tcPr>
            <w:tcW w:w="374" w:type="dxa"/>
            <w:gridSpan w:val="3"/>
            <w:tcBorders>
              <w:right w:val="single" w:sz="8" w:space="0" w:color="00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46C8"/>
              <w:bottom w:val="single" w:sz="8" w:space="0" w:color="0046C8"/>
            </w:tcBorders>
            <w:tcMar>
              <w:top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46C8"/>
              <w:right w:val="single" w:sz="8" w:space="0" w:color="0046C8"/>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629920"/>
                <wp:effectExtent l="0" t="0" r="0" b="0"/>
                <wp:wrapNone/>
                <wp:docPr id="247" name="Frame5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46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46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176" w:type="dxa"/>
        <w:jc w:val="left"/>
        <w:tblInd w:w="0" w:type="dxa"/>
        <w:tblLayout w:type="fixed"/>
        <w:tblCellMar>
          <w:top w:w="28" w:type="dxa"/>
          <w:left w:w="28" w:type="dxa"/>
          <w:bottom w:w="28" w:type="dxa"/>
          <w:right w:w="28" w:type="dxa"/>
        </w:tblCellMar>
      </w:tblPr>
      <w:tblGrid>
        <w:gridCol w:w="188"/>
        <w:gridCol w:w="166"/>
        <w:gridCol w:w="167"/>
        <w:gridCol w:w="777"/>
        <w:gridCol w:w="777"/>
        <w:gridCol w:w="1101"/>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48"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96" descr=""/>
                          <pic:cNvPicPr>
                            <a:picLocks noChangeAspect="1" noChangeArrowheads="1"/>
                          </pic:cNvPicPr>
                        </pic:nvPicPr>
                        <pic:blipFill>
                          <a:blip r:embed="rId197"/>
                          <a:stretch>
                            <a:fillRect/>
                          </a:stretch>
                        </pic:blipFill>
                        <pic:spPr bwMode="auto">
                          <a:xfrm>
                            <a:off x="0" y="0"/>
                            <a:ext cx="228600" cy="180975"/>
                          </a:xfrm>
                          <a:prstGeom prst="rect">
                            <a:avLst/>
                          </a:prstGeom>
                        </pic:spPr>
                      </pic:pic>
                    </a:graphicData>
                  </a:graphic>
                </wp:inline>
              </w:drawing>
            </w:r>
            <w:r>
              <w:rPr>
                <w:color w:val="000000"/>
              </w:rPr>
              <w:t> </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Proposal 2: Ratification of auditor</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Principal Accounting Firm Fees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aggregate fees to Deloitte (excluding value added taxes) with respect to the fiscal years ended December 31, 2024 and 2023, were as follows (dollars in millions):</w:t>
      </w:r>
    </w:p>
    <w:tbl>
      <w:tblPr>
        <w:tblW w:w="4505" w:type="dxa"/>
        <w:jc w:val="left"/>
        <w:tblInd w:w="0" w:type="dxa"/>
        <w:tblLayout w:type="fixed"/>
        <w:tblCellMar>
          <w:top w:w="28" w:type="dxa"/>
          <w:left w:w="28" w:type="dxa"/>
          <w:bottom w:w="28" w:type="dxa"/>
          <w:right w:w="28" w:type="dxa"/>
        </w:tblCellMar>
      </w:tblPr>
      <w:tblGrid>
        <w:gridCol w:w="709"/>
        <w:gridCol w:w="623"/>
        <w:gridCol w:w="632"/>
        <w:gridCol w:w="109"/>
        <w:gridCol w:w="109"/>
        <w:gridCol w:w="109"/>
        <w:gridCol w:w="226"/>
        <w:gridCol w:w="586"/>
        <w:gridCol w:w="109"/>
        <w:gridCol w:w="109"/>
        <w:gridCol w:w="109"/>
        <w:gridCol w:w="109"/>
        <w:gridCol w:w="226"/>
        <w:gridCol w:w="586"/>
        <w:gridCol w:w="154"/>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2024</w:t>
            </w:r>
          </w:p>
        </w:tc>
        <w:tc>
          <w:tcPr>
            <w:tcW w:w="129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2023</w:t>
            </w:r>
          </w:p>
        </w:tc>
      </w:tr>
      <w:tr>
        <w:trPr/>
        <w:tc>
          <w:tcPr>
            <w:tcW w:w="1964"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Audit Fees</w:t>
            </w:r>
            <w:r>
              <w:rPr>
                <w:rFonts w:ascii="Lato;sans-serif" w:hAnsi="Lato;sans-serif"/>
                <w:b w:val="false"/>
                <w:color w:val="000000"/>
                <w:sz w:val="12"/>
              </w:rPr>
              <w:t>(1)</w:t>
            </w:r>
          </w:p>
        </w:tc>
        <w:tc>
          <w:tcPr>
            <w:tcW w:w="3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586"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13.9 </w:t>
            </w:r>
          </w:p>
        </w:tc>
        <w:tc>
          <w:tcPr>
            <w:tcW w:w="109"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586"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12.3 </w:t>
            </w:r>
          </w:p>
        </w:tc>
        <w:tc>
          <w:tcPr>
            <w:tcW w:w="154"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Audit-Related Fees</w:t>
            </w:r>
            <w:r>
              <w:rPr>
                <w:rFonts w:ascii="Lato;sans-serif" w:hAnsi="Lato;sans-serif"/>
                <w:b w:val="false"/>
                <w:color w:val="000000"/>
                <w:sz w:val="12"/>
              </w:rPr>
              <w:t>(2)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0.5 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1.0 </w:t>
            </w:r>
          </w:p>
        </w:tc>
        <w:tc>
          <w:tcPr>
            <w:tcW w:w="15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Tax Fees</w:t>
            </w:r>
            <w:r>
              <w:rPr>
                <w:rFonts w:ascii="Lato;sans-serif" w:hAnsi="Lato;sans-serif"/>
                <w:b w:val="false"/>
                <w:color w:val="000000"/>
                <w:sz w:val="12"/>
              </w:rPr>
              <w:t>(3)</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2.1 </w:t>
            </w:r>
          </w:p>
        </w:tc>
        <w:tc>
          <w:tcPr>
            <w:tcW w:w="1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1.9 </w:t>
            </w:r>
          </w:p>
        </w:tc>
        <w:tc>
          <w:tcPr>
            <w:tcW w:w="15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All Other Fees</w:t>
            </w:r>
          </w:p>
        </w:tc>
        <w:tc>
          <w:tcPr>
            <w:tcW w:w="327"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(1)</w:t>
      </w:r>
      <w:r>
        <w:rPr>
          <w:rFonts w:ascii="Lato;sans-serif" w:hAnsi="Lato;sans-serif"/>
          <w:b w:val="false"/>
          <w:color w:val="000000"/>
          <w:sz w:val="16"/>
        </w:rPr>
        <w:t>These amounts represent fees billed or expected to be billed for professional services rendered by Deloitte for the audit of Kimberly-Clark’s annual financial statements for the fiscal years ended December 31, 2024 and 2023, reviews of the financial statements included in Kimberly-Clark’s Forms 10-Q, and other services that are normally provided by the independent registered public accounting firm in connection with statutory or regulatory filings or engagements for each of those fiscal years. These amounts also include fees for an audit of internal control over financial reporting pursuant to Section 404 of the Sarbanes-Oxley Act of 2002.</w:t>
      </w:r>
    </w:p>
    <w:p>
      <w:pPr>
        <w:pStyle w:val="TextBody"/>
        <w:bidi w:val="0"/>
        <w:spacing w:lineRule="auto" w:line="312" w:before="80" w:after="80"/>
        <w:ind w:left="0" w:right="0" w:hanging="216"/>
        <w:jc w:val="left"/>
        <w:rPr/>
      </w:pPr>
      <w:r>
        <w:rPr>
          <w:rFonts w:ascii="Lato;sans-serif" w:hAnsi="Lato;sans-serif"/>
          <w:b w:val="false"/>
          <w:color w:val="000000"/>
          <w:sz w:val="10"/>
        </w:rPr>
        <w:t>(2)</w:t>
      </w:r>
      <w:r>
        <w:rPr>
          <w:rFonts w:ascii="Lato;sans-serif" w:hAnsi="Lato;sans-serif"/>
          <w:b w:val="false"/>
          <w:color w:val="000000"/>
          <w:sz w:val="16"/>
        </w:rPr>
        <w:t>These amounts represent aggregate fees billed or expected to be billed by Deloitte for assurance and related services reasonably related to the performance of the audit or review of our financial statements, that are not included in the audit fees listed above. These services include engagements related to employee benefit plans, comfort letters, attest services, consents, assistance with and review of SEC filings, due diligence and accounting consultation in connection with acquisitions and dispositions, and other matters.</w:t>
      </w:r>
    </w:p>
    <w:p>
      <w:pPr>
        <w:pStyle w:val="TextBody"/>
        <w:bidi w:val="0"/>
        <w:spacing w:lineRule="auto" w:line="312" w:before="80" w:after="80"/>
        <w:ind w:left="0" w:right="0" w:hanging="216"/>
        <w:jc w:val="left"/>
        <w:rPr/>
      </w:pPr>
      <w:r>
        <w:rPr>
          <w:rFonts w:ascii="Lato;sans-serif" w:hAnsi="Lato;sans-serif"/>
          <w:b w:val="false"/>
          <w:color w:val="000000"/>
          <w:sz w:val="10"/>
        </w:rPr>
        <w:t>(3)</w:t>
      </w:r>
      <w:r>
        <w:rPr>
          <w:rFonts w:ascii="Lato;sans-serif" w:hAnsi="Lato;sans-serif"/>
          <w:b w:val="false"/>
          <w:color w:val="000000"/>
          <w:sz w:val="16"/>
        </w:rPr>
        <w:t>These amounts represent Deloitte’s aggregate fees for tax compliance, tax advice and tax planning for 2024 and 2023. Approximately $0.1 million was for tax compliance/preparation fees in each of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Audit Committee Approval of Audit and Non-Audit Services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Audit Committee has a policy for pre-approval of all audit and permissible non-audit services provided by Deloitte. Each year, the Audit Committee approves the terms on which Deloitte is engaged for the ensuing year. At least quarterly, the Audit Committee reviews and, if appropriate, pre-approves non-audit services to be performed by Deloitte, reviews a report summarizing year-to-date approved non-audit services provided by Deloitte, and reviews an updated projection of the year’s estimated non-audit service fees. To ensure prompt handling of unexpected matters, the Audit Committee has delegated to the Chair of the Audit Committee the authority to amend or modify the list of audit and non-audit services and fees between meetings, as long as the additional or amended services do not affect Deloitte’s independence under applicable rules. The Audit Committee then reviews the Chair’s approval decisions each quarter.</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All Deloitte services and fees in 2024 and 2023 were pre-approved by the Audit Committee or the Audit Committee Chair.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629920"/>
                <wp:effectExtent l="0" t="0" r="0" b="0"/>
                <wp:wrapNone/>
                <wp:docPr id="249" name="Frame5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47</w:t>
                            </w:r>
                          </w:p>
                        </w:tc>
                      </w:tr>
                    </w:tbl>
                    <w:p>
                      <w:pPr>
                        <w:pStyle w:val="TextBody"/>
                        <w:bidi w:val="0"/>
                        <w:spacing w:before="0" w:after="283"/>
                        <w:jc w:val="left"/>
                        <w:rPr/>
                      </w:pPr>
                      <w:r>
                        <w:rPr/>
                      </w:r>
                    </w:p>
                  </w:txbxContent>
                </v:textbox>
                <w10:wrap type="none"/>
              </v:rect>
            </w:pict>
          </mc:Fallback>
        </mc:AlternateContent>
      </w:r>
    </w:p>
    <w:tbl>
      <w:tblPr>
        <w:tblW w:w="3175" w:type="dxa"/>
        <w:jc w:val="left"/>
        <w:tblInd w:w="0" w:type="dxa"/>
        <w:tblLayout w:type="fixed"/>
        <w:tblCellMar>
          <w:top w:w="28" w:type="dxa"/>
          <w:left w:w="28" w:type="dxa"/>
          <w:bottom w:w="28" w:type="dxa"/>
          <w:right w:w="28" w:type="dxa"/>
        </w:tblCellMar>
      </w:tblPr>
      <w:tblGrid>
        <w:gridCol w:w="949"/>
        <w:gridCol w:w="836"/>
        <w:gridCol w:w="839"/>
        <w:gridCol w:w="161"/>
        <w:gridCol w:w="161"/>
        <w:gridCol w:w="229"/>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4"/>
              </w:rPr>
            </w:pPr>
            <w:r>
              <w:rPr>
                <w:rFonts w:ascii="Lato Bold;sans-serif" w:hAnsi="Lato Bold;sans-serif"/>
                <w:b/>
                <w:color w:val="000000"/>
                <w:sz w:val="14"/>
              </w:rPr>
              <w:t>Proposal 2: Ratification of auditor</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50"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97" descr=""/>
                          <pic:cNvPicPr>
                            <a:picLocks noChangeAspect="1" noChangeArrowheads="1"/>
                          </pic:cNvPicPr>
                        </pic:nvPicPr>
                        <pic:blipFill>
                          <a:blip r:embed="rId198"/>
                          <a:stretch>
                            <a:fillRect/>
                          </a:stretch>
                        </pic:blipFill>
                        <pic:spPr bwMode="auto">
                          <a:xfrm>
                            <a:off x="0" y="0"/>
                            <a:ext cx="228600" cy="180975"/>
                          </a:xfrm>
                          <a:prstGeom prst="rect">
                            <a:avLst/>
                          </a:prstGeom>
                        </pic:spPr>
                      </pic:pic>
                    </a:graphicData>
                  </a:graphic>
                </wp:inline>
              </w:drawing>
            </w:r>
            <w:r>
              <w:rPr>
                <w:color w:val="000000"/>
              </w:rPr>
              <w:t> </w:t>
            </w:r>
          </w:p>
        </w:tc>
      </w:tr>
      <w:tr>
        <w:trPr/>
        <w:tc>
          <w:tcPr>
            <w:tcW w:w="262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Audit Committee Report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accordance with its charter adopted by the Board, the Audit Committee assists the Board in overseeing the quality and integrity of Kimberly-Clark’s accounting, auditing and financial reporting practices.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discharging its oversight responsibility for the audit process, the Audit Committee obtained from the independent registered public accounting firm (the “auditor”) a formal written statement describing all relationships between the auditor and Kimberly-Clark that might bear on the auditor’s independence, as required by Public Company Accounting Oversight Board (“PCAOB”) Rule 3526, Communication with Audit Committees Concerning Independence, discussed with the auditor any relationships that may impact the auditor’s objectivity and independence and satisfied itself as to the auditor’s independence. The Audit Committee also discussed with management, the internal auditors, and the auditor, the quality and adequacy of Kimberly-Clark’s internal controls and the internal audit function’s organization, responsibilities, budget and staffing. The Audit Committee reviewed with both the auditor and the internal auditors their audit plans, audit scope and identification of audit risks.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Audit Committee discussed with the auditor the matters required to be discussed by the applicable requirements of the PCAOB and the SEC. Also, with and without management present, it discussed and reviewed the results of the auditor’s examination of our financial statements and our internal control over financial reporting. The Committee also discussed the results of internal audit examinations.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Management is responsible for preparing Kimberly-Clark’s financial statements in accordance with accounting principles generally accepted in the United States of America (“GAAP”) and for establishing and maintaining Kimberly-Clark’s internal control over financial reporting. The auditor has the responsibility for performing an independent audit of Kimberly-Clark’s financial statements and internal control over financial reporting, and expressing opinions on the conformity of Kimberly-Clark’s financial statements with GAAP and the effectiveness of internal control over financial reporting. The Audit Committee discussed and reviewed Kimberly-Clark’s audited financial statements as of and for the fiscal year ended December 31, 2024, with management and the auditor. The Audit Committee also reviewed management’s assessment of the effectiveness of internal controls as of December 31, 2024, and discussed the auditor’s examination of the effectiveness of Kimberly-Clark’s internal control over financial reporting.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Based on the above-mentioned reviews and discussions with management and the auditor, the Audit Committee recommended to the Board that Kimberly-Clark’s audited financial statements be included in Kimberly-Clark’s Annual Report on Form 10-K for the fiscal year ended December 31, 2024, for filing with the SEC. The Audit Committee also has selected and recommended to stockholders for ratification the reappointment of Deloitte as the independent registered public accounting firm for 2025.</w:t>
      </w:r>
    </w:p>
    <w:tbl>
      <w:tblPr>
        <w:tblW w:w="5025" w:type="dxa"/>
        <w:jc w:val="right"/>
        <w:tblInd w:w="0" w:type="dxa"/>
        <w:tblLayout w:type="fixed"/>
        <w:tblCellMar>
          <w:top w:w="28" w:type="dxa"/>
          <w:left w:w="28" w:type="dxa"/>
          <w:bottom w:w="28" w:type="dxa"/>
          <w:right w:w="28" w:type="dxa"/>
        </w:tblCellMar>
      </w:tblPr>
      <w:tblGrid>
        <w:gridCol w:w="1609"/>
        <w:gridCol w:w="1415"/>
        <w:gridCol w:w="2001"/>
      </w:tblGrid>
      <w:tr>
        <w:trPr/>
        <w:tc>
          <w:tcPr>
            <w:tcW w:w="160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AUDIT COMMITTEE OF THE BOARD OF DIRECTORS</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20"/>
              </w:rPr>
            </w:pPr>
            <w:r>
              <w:rPr>
                <w:rFonts w:ascii="Lato;sans-serif" w:hAnsi="Lato;sans-serif"/>
                <w:b w:val="false"/>
                <w:color w:val="000000"/>
                <w:sz w:val="20"/>
              </w:rPr>
              <w:t>Dunia A. Shive, Chair</w:t>
            </w:r>
          </w:p>
          <w:p>
            <w:pPr>
              <w:pStyle w:val="TableContents"/>
              <w:bidi w:val="0"/>
              <w:spacing w:lineRule="auto" w:line="312" w:before="0" w:after="0"/>
              <w:jc w:val="left"/>
              <w:rPr>
                <w:rFonts w:ascii="Lato;sans-serif" w:hAnsi="Lato;sans-serif"/>
                <w:b w:val="false"/>
                <w:color w:val="000000"/>
                <w:sz w:val="20"/>
              </w:rPr>
            </w:pPr>
            <w:r>
              <w:rPr>
                <w:rFonts w:ascii="Lato;sans-serif" w:hAnsi="Lato;sans-serif"/>
                <w:b w:val="false"/>
                <w:color w:val="000000"/>
                <w:sz w:val="20"/>
              </w:rPr>
              <w:t>Sylvia M. Burwell</w:t>
            </w:r>
          </w:p>
          <w:p>
            <w:pPr>
              <w:pStyle w:val="TableContents"/>
              <w:bidi w:val="0"/>
              <w:spacing w:lineRule="auto" w:line="312" w:before="0" w:after="0"/>
              <w:jc w:val="left"/>
              <w:rPr>
                <w:rFonts w:ascii="Lato;sans-serif" w:hAnsi="Lato;sans-serif"/>
                <w:b w:val="false"/>
                <w:color w:val="000000"/>
                <w:sz w:val="20"/>
              </w:rPr>
            </w:pPr>
            <w:r>
              <w:rPr>
                <w:rFonts w:ascii="Lato;sans-serif" w:hAnsi="Lato;sans-serif"/>
                <w:b w:val="false"/>
                <w:color w:val="000000"/>
                <w:sz w:val="20"/>
              </w:rPr>
              <w:t>Deeptha Khanna</w:t>
            </w:r>
          </w:p>
          <w:p>
            <w:pPr>
              <w:pStyle w:val="TableContents"/>
              <w:bidi w:val="0"/>
              <w:spacing w:lineRule="auto" w:line="312" w:before="0" w:after="0"/>
              <w:jc w:val="left"/>
              <w:rPr>
                <w:rFonts w:ascii="Lato;sans-serif" w:hAnsi="Lato;sans-serif"/>
                <w:b w:val="false"/>
                <w:color w:val="000000"/>
                <w:sz w:val="20"/>
              </w:rPr>
            </w:pPr>
            <w:r>
              <w:rPr>
                <w:rFonts w:ascii="Lato;sans-serif" w:hAnsi="Lato;sans-serif"/>
                <w:b w:val="false"/>
                <w:color w:val="000000"/>
                <w:sz w:val="20"/>
              </w:rPr>
              <w:t>Deirdre A. Mahlan</w:t>
            </w:r>
          </w:p>
          <w:p>
            <w:pPr>
              <w:pStyle w:val="TableContents"/>
              <w:bidi w:val="0"/>
              <w:spacing w:lineRule="auto" w:line="312" w:before="0" w:after="0"/>
              <w:jc w:val="left"/>
              <w:rPr>
                <w:rFonts w:ascii="Lato;sans-serif" w:hAnsi="Lato;sans-serif"/>
                <w:b w:val="false"/>
                <w:color w:val="000000"/>
                <w:sz w:val="20"/>
              </w:rPr>
            </w:pPr>
            <w:r>
              <w:rPr>
                <w:rFonts w:ascii="Lato;sans-serif" w:hAnsi="Lato;sans-serif"/>
                <w:b w:val="false"/>
                <w:color w:val="000000"/>
                <w:sz w:val="20"/>
              </w:rPr>
              <w:t>Jaime A. Ramirez</w:t>
            </w:r>
          </w:p>
          <w:p>
            <w:pPr>
              <w:pStyle w:val="TableContents"/>
              <w:bidi w:val="0"/>
              <w:spacing w:lineRule="auto" w:line="312" w:before="0" w:after="0"/>
              <w:jc w:val="left"/>
              <w:rPr>
                <w:rFonts w:ascii="Lato;sans-serif" w:hAnsi="Lato;sans-serif"/>
                <w:b w:val="false"/>
                <w:color w:val="000000"/>
                <w:sz w:val="20"/>
              </w:rPr>
            </w:pPr>
            <w:r>
              <w:rPr>
                <w:rFonts w:ascii="Lato;sans-serif" w:hAnsi="Lato;sans-serif"/>
                <w:b w:val="false"/>
                <w:color w:val="000000"/>
                <w:sz w:val="20"/>
              </w:rPr>
              <w:t>Joseph Romanelli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629920"/>
                <wp:effectExtent l="0" t="0" r="0" b="0"/>
                <wp:wrapNone/>
                <wp:docPr id="251" name="Frame5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48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48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893" w:type="dxa"/>
        <w:jc w:val="left"/>
        <w:tblInd w:w="0" w:type="dxa"/>
        <w:tblLayout w:type="fixed"/>
        <w:tblCellMar>
          <w:top w:w="28" w:type="dxa"/>
          <w:left w:w="28" w:type="dxa"/>
          <w:bottom w:w="28" w:type="dxa"/>
          <w:right w:w="28" w:type="dxa"/>
        </w:tblCellMar>
      </w:tblPr>
      <w:tblGrid>
        <w:gridCol w:w="188"/>
        <w:gridCol w:w="166"/>
        <w:gridCol w:w="16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5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98" descr=""/>
                          <pic:cNvPicPr>
                            <a:picLocks noChangeAspect="1" noChangeArrowheads="1"/>
                          </pic:cNvPicPr>
                        </pic:nvPicPr>
                        <pic:blipFill>
                          <a:blip r:embed="rId199"/>
                          <a:stretch>
                            <a:fillRect/>
                          </a:stretch>
                        </pic:blipFill>
                        <pic:spPr bwMode="auto">
                          <a:xfrm>
                            <a:off x="0" y="0"/>
                            <a:ext cx="228600" cy="180975"/>
                          </a:xfrm>
                          <a:prstGeom prst="rect">
                            <a:avLst/>
                          </a:prstGeom>
                        </pic:spPr>
                      </pic:pic>
                    </a:graphicData>
                  </a:graphic>
                </wp:inline>
              </w:drawing>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120"/>
        <w:jc w:val="left"/>
        <w:rPr>
          <w:rFonts w:ascii="Lato;sans-serif" w:hAnsi="Lato;sans-serif"/>
          <w:b w:val="false"/>
          <w:color w:val="0046C8"/>
          <w:sz w:val="48"/>
        </w:rPr>
      </w:pPr>
      <w:r>
        <w:rPr>
          <w:rFonts w:ascii="Lato;sans-serif" w:hAnsi="Lato;sans-serif"/>
          <w:b w:val="false"/>
          <w:color w:val="0046C8"/>
          <w:sz w:val="48"/>
        </w:rPr>
        <w:t>Proposal 3 – Advisory Vote to Approve Named Executive Officer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the Compensation Discussion and Analysis that follows, we describe in detail our executive compensation program, including its objectives, policies, and components. As discussed in that section, our executive compensation program seeks to align the compensation of our executives with our strategic objectives. To this end, the Management Development and Compensation Committee (the “Committee”) has adopted executive compensation policies that are designed to achieve the following objectives:</w:t>
      </w:r>
    </w:p>
    <w:p>
      <w:pPr>
        <w:pStyle w:val="TextBody"/>
        <w:bidi w:val="0"/>
        <w:spacing w:lineRule="auto" w:line="312" w:before="80" w:after="80"/>
        <w:ind w:left="0" w:right="0" w:hanging="216"/>
        <w:jc w:val="left"/>
        <w:rPr/>
      </w:pPr>
      <w:r>
        <w:rPr>
          <w:color w:val="0046C8"/>
        </w:rPr>
        <w:t>•</w:t>
      </w:r>
      <w:r>
        <w:rPr>
          <w:rFonts w:ascii="Lato;sans-serif" w:hAnsi="Lato;sans-serif"/>
          <w:b w:val="false"/>
          <w:i/>
          <w:color w:val="0046C8"/>
          <w:sz w:val="19"/>
        </w:rPr>
        <w:t>Pay-for-Performance.</w:t>
      </w:r>
      <w:r>
        <w:rPr>
          <w:color w:val="000000"/>
        </w:rPr>
        <w:t xml:space="preserve"> </w:t>
      </w:r>
      <w:r>
        <w:rPr>
          <w:rFonts w:ascii="Lato;sans-serif" w:hAnsi="Lato;sans-serif"/>
          <w:b w:val="false"/>
          <w:color w:val="000000"/>
          <w:sz w:val="19"/>
        </w:rPr>
        <w:t>Support a performance-oriented environment that rewards achievement of our financial and non-financial goals.</w:t>
      </w:r>
    </w:p>
    <w:p>
      <w:pPr>
        <w:pStyle w:val="TextBody"/>
        <w:bidi w:val="0"/>
        <w:spacing w:lineRule="auto" w:line="312" w:before="80" w:after="80"/>
        <w:ind w:left="0" w:right="0" w:hanging="216"/>
        <w:jc w:val="left"/>
        <w:rPr/>
      </w:pPr>
      <w:r>
        <w:rPr>
          <w:color w:val="0046C8"/>
        </w:rPr>
        <w:t>•</w:t>
      </w:r>
      <w:r>
        <w:rPr>
          <w:rFonts w:ascii="Lato;sans-serif" w:hAnsi="Lato;sans-serif"/>
          <w:b w:val="false"/>
          <w:i/>
          <w:color w:val="0046C8"/>
          <w:sz w:val="19"/>
        </w:rPr>
        <w:t>Focus on Long-Term Success.</w:t>
      </w:r>
      <w:r>
        <w:rPr>
          <w:color w:val="000000"/>
        </w:rPr>
        <w:t xml:space="preserve"> </w:t>
      </w:r>
      <w:r>
        <w:rPr>
          <w:rFonts w:ascii="Lato;sans-serif" w:hAnsi="Lato;sans-serif"/>
          <w:b w:val="false"/>
          <w:color w:val="000000"/>
          <w:sz w:val="19"/>
        </w:rPr>
        <w:t>Reward executives for long-term strategic management and stockholder value enhancement.</w:t>
      </w:r>
    </w:p>
    <w:p>
      <w:pPr>
        <w:pStyle w:val="TextBody"/>
        <w:bidi w:val="0"/>
        <w:spacing w:lineRule="auto" w:line="312" w:before="80" w:after="80"/>
        <w:ind w:left="0" w:right="0" w:hanging="216"/>
        <w:jc w:val="left"/>
        <w:rPr/>
      </w:pPr>
      <w:r>
        <w:rPr>
          <w:color w:val="0046C8"/>
        </w:rPr>
        <w:t>•</w:t>
      </w:r>
      <w:r>
        <w:rPr>
          <w:rFonts w:ascii="Lato;sans-serif" w:hAnsi="Lato;sans-serif"/>
          <w:b w:val="false"/>
          <w:i/>
          <w:color w:val="0046C8"/>
          <w:sz w:val="19"/>
        </w:rPr>
        <w:t>Stockholder Alignment.</w:t>
      </w:r>
      <w:r>
        <w:rPr>
          <w:color w:val="000000"/>
        </w:rPr>
        <w:t xml:space="preserve"> </w:t>
      </w:r>
      <w:r>
        <w:rPr>
          <w:rFonts w:ascii="Lato;sans-serif" w:hAnsi="Lato;sans-serif"/>
          <w:b w:val="false"/>
          <w:color w:val="000000"/>
          <w:sz w:val="19"/>
        </w:rPr>
        <w:t>Align the financial interests of our executives with those of our stockholders.</w:t>
      </w:r>
    </w:p>
    <w:p>
      <w:pPr>
        <w:pStyle w:val="TextBody"/>
        <w:bidi w:val="0"/>
        <w:spacing w:lineRule="auto" w:line="312" w:before="80" w:after="120"/>
        <w:ind w:left="0" w:right="0" w:hanging="216"/>
        <w:jc w:val="left"/>
        <w:rPr/>
      </w:pPr>
      <w:r>
        <w:rPr>
          <w:color w:val="0046C8"/>
        </w:rPr>
        <w:t>•</w:t>
      </w:r>
      <w:r>
        <w:rPr>
          <w:rFonts w:ascii="Lato;sans-serif" w:hAnsi="Lato;sans-serif"/>
          <w:b w:val="false"/>
          <w:i/>
          <w:color w:val="0046C8"/>
          <w:sz w:val="19"/>
        </w:rPr>
        <w:t>Quality of Talent.</w:t>
      </w:r>
      <w:r>
        <w:rPr>
          <w:color w:val="000000"/>
        </w:rPr>
        <w:t xml:space="preserve"> </w:t>
      </w:r>
      <w:r>
        <w:rPr>
          <w:rFonts w:ascii="Lato;sans-serif" w:hAnsi="Lato;sans-serif"/>
          <w:b w:val="false"/>
          <w:color w:val="000000"/>
          <w:sz w:val="19"/>
        </w:rPr>
        <w:t>Attract and retain executives whose abilities are considered essential to our long-term success.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For a more detailed discussion of how our executive compensation program reflects these objectives and policies, including information about the fiscal year 2024 compensation of our named executive officers, see “Compensation Discussion and Analysis.”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We are asking our stockholders to support our executive compensation as described in this proxy statement. This proposal, commonly known as a “say-on-pay” proposal, gives our stockholders the opportunity to express their views on our executive compensation on an annual basis. This vote is not intended to address any specific item of compensation, but rather the overall compensation of our executives and the objectives, policies, and practices described in this proxy statement. Accordingly, we will ask our stockholders to vote on the following resolution at the Annual Meeting:</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RESOLVED, that the compensation paid to the Corporation’s named executive officers, as disclosed pursuant to Item 402 of Regulation S-K, including the Compensation Discussion and Analysis, compensation tables, and narrative discussion, is hereby approved by the Corporation’s stockholders on an advisory basis.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say-on-pay vote is advisory and is therefore not binding on Kimberly-Clark, the Committee, or our Board. Nonetheless, the Committee and our Board value the opinions of our stockholders. Therefore, to the extent there is any significant vote against the executive compensation as disclosed in this proxy statement, the Committee and our Board will consider our stockholders’ concerns and will evaluate whether any actions are necessary to address those concerns.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46C8"/>
              <w:left w:val="single" w:sz="8" w:space="0" w:color="0046C8"/>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46C8"/>
              <w:right w:val="single" w:sz="8" w:space="0" w:color="0046C8"/>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46C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Board of Directors unanimously recommends a vote FOR the approval of named executive officer compensation, as disclosed in this proxy statement pursuant to the SEC’s compensation disclosure rules.</w:t>
            </w:r>
          </w:p>
        </w:tc>
        <w:tc>
          <w:tcPr>
            <w:tcW w:w="374" w:type="dxa"/>
            <w:gridSpan w:val="3"/>
            <w:tcBorders>
              <w:right w:val="single" w:sz="8" w:space="0" w:color="0046C8"/>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46C8"/>
              <w:bottom w:val="single" w:sz="8" w:space="0" w:color="0046C8"/>
            </w:tcBorders>
            <w:tcMar>
              <w:top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46C8"/>
              <w:right w:val="single" w:sz="8" w:space="0" w:color="0046C8"/>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629920"/>
                <wp:effectExtent l="0" t="0" r="0" b="0"/>
                <wp:wrapNone/>
                <wp:docPr id="253" name="Frame5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49</w:t>
                            </w:r>
                          </w:p>
                        </w:tc>
                      </w:tr>
                    </w:tbl>
                    <w:p>
                      <w:pPr>
                        <w:pStyle w:val="TextBody"/>
                        <w:bidi w:val="0"/>
                        <w:spacing w:before="0" w:after="283"/>
                        <w:jc w:val="left"/>
                        <w:rPr/>
                      </w:pPr>
                      <w:r>
                        <w:rPr/>
                      </w:r>
                    </w:p>
                  </w:txbxContent>
                </v:textbox>
                <w10:wrap type="none"/>
              </v:rect>
            </w:pict>
          </mc:Fallback>
        </mc:AlternateContent>
      </w:r>
    </w:p>
    <w:tbl>
      <w:tblPr>
        <w:tblW w:w="893" w:type="dxa"/>
        <w:jc w:val="left"/>
        <w:tblInd w:w="0" w:type="dxa"/>
        <w:tblLayout w:type="fixed"/>
        <w:tblCellMar>
          <w:top w:w="28" w:type="dxa"/>
          <w:left w:w="28" w:type="dxa"/>
          <w:bottom w:w="28" w:type="dxa"/>
          <w:right w:w="28" w:type="dxa"/>
        </w:tblCellMar>
      </w:tblPr>
      <w:tblGrid>
        <w:gridCol w:w="124"/>
        <w:gridCol w:w="109"/>
        <w:gridCol w:w="109"/>
        <w:gridCol w:w="161"/>
        <w:gridCol w:w="161"/>
        <w:gridCol w:w="2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54"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99" descr=""/>
                          <pic:cNvPicPr>
                            <a:picLocks noChangeAspect="1" noChangeArrowheads="1"/>
                          </pic:cNvPicPr>
                        </pic:nvPicPr>
                        <pic:blipFill>
                          <a:blip r:embed="rId200"/>
                          <a:stretch>
                            <a:fillRect/>
                          </a:stretch>
                        </pic:blipFill>
                        <pic:spPr bwMode="auto">
                          <a:xfrm>
                            <a:off x="0" y="0"/>
                            <a:ext cx="228600" cy="180975"/>
                          </a:xfrm>
                          <a:prstGeom prst="rect">
                            <a:avLst/>
                          </a:prstGeom>
                        </pic:spPr>
                      </pic:pic>
                    </a:graphicData>
                  </a:graphic>
                </wp:inline>
              </w:drawing>
            </w:r>
            <w:r>
              <w:rPr>
                <w:color w:val="000000"/>
              </w:rPr>
              <w:t> </w:t>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120"/>
        <w:jc w:val="left"/>
        <w:rPr>
          <w:rFonts w:ascii="Lato;sans-serif" w:hAnsi="Lato;sans-serif"/>
          <w:b w:val="false"/>
          <w:color w:val="0046C8"/>
          <w:sz w:val="48"/>
        </w:rPr>
      </w:pPr>
      <w:r>
        <w:rPr>
          <w:rFonts w:ascii="Lato;sans-serif" w:hAnsi="Lato;sans-serif"/>
          <w:b w:val="false"/>
          <w:color w:val="0046C8"/>
          <w:sz w:val="48"/>
        </w:rPr>
        <w:t>Compensation Discussion and Analysis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This Compensation Discussion and Analysis is intended to provide investors with an understanding of our compensation policies and decisions regarding 2024 compensation for our named executive officers.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For 2024, our named executive officers are:</w:t>
      </w:r>
    </w:p>
    <w:tbl>
      <w:tblPr>
        <w:tblW w:w="7649" w:type="dxa"/>
        <w:jc w:val="left"/>
        <w:tblInd w:w="0" w:type="dxa"/>
        <w:tblLayout w:type="fixed"/>
        <w:tblCellMar>
          <w:top w:w="28" w:type="dxa"/>
          <w:left w:w="28" w:type="dxa"/>
          <w:bottom w:w="28" w:type="dxa"/>
          <w:right w:w="28" w:type="dxa"/>
        </w:tblCellMar>
      </w:tblPr>
      <w:tblGrid>
        <w:gridCol w:w="1021"/>
        <w:gridCol w:w="898"/>
        <w:gridCol w:w="900"/>
        <w:gridCol w:w="1408"/>
        <w:gridCol w:w="1408"/>
        <w:gridCol w:w="201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Named Executive Officer</w:t>
            </w:r>
          </w:p>
        </w:tc>
        <w:tc>
          <w:tcPr>
            <w:tcW w:w="4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Title</w:t>
            </w:r>
          </w:p>
        </w:tc>
      </w:tr>
      <w:tr>
        <w:trPr/>
        <w:tc>
          <w:tcPr>
            <w:tcW w:w="281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Michael D. Hsu</w:t>
            </w:r>
          </w:p>
        </w:tc>
        <w:tc>
          <w:tcPr>
            <w:tcW w:w="4830"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Chairman of the Board and Chief Executive Officer</w:t>
            </w:r>
          </w:p>
        </w:tc>
      </w:tr>
      <w:tr>
        <w:trPr/>
        <w:tc>
          <w:tcPr>
            <w:tcW w:w="281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Nelson Urdaneta</w:t>
            </w:r>
          </w:p>
        </w:tc>
        <w:tc>
          <w:tcPr>
            <w:tcW w:w="483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Senior Vice President and Chief Financial Officer</w:t>
            </w:r>
          </w:p>
        </w:tc>
      </w:tr>
      <w:tr>
        <w:trPr/>
        <w:tc>
          <w:tcPr>
            <w:tcW w:w="281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Jeffrey Melucci</w:t>
            </w:r>
          </w:p>
        </w:tc>
        <w:tc>
          <w:tcPr>
            <w:tcW w:w="483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Chief Business, Strategy and Transformation Officer</w:t>
            </w:r>
          </w:p>
        </w:tc>
      </w:tr>
      <w:tr>
        <w:trPr/>
        <w:tc>
          <w:tcPr>
            <w:tcW w:w="281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Zackery Hicks</w:t>
            </w:r>
          </w:p>
        </w:tc>
        <w:tc>
          <w:tcPr>
            <w:tcW w:w="483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Chief Digital and Technology Officer</w:t>
            </w:r>
          </w:p>
        </w:tc>
      </w:tr>
      <w:tr>
        <w:trPr/>
        <w:tc>
          <w:tcPr>
            <w:tcW w:w="281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Russell Torres</w:t>
            </w:r>
          </w:p>
        </w:tc>
        <w:tc>
          <w:tcPr>
            <w:tcW w:w="4830"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President, North America</w:t>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January 2024, Mr. Melucci was promoted to Chief Business and Transformation Officer. On October 1, 2024, his title was changed to Chief Business, Strategy and Transformation Officer to better reflect his responsibilities.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Prior to October 1, 2024, Mr. Torres served as Group President, K-C North America and was responsible for our consumer business in North America. On October 1, 2024, his role changed to President, North America when we realigned our internal operating and management structure as part of our 2024 transformation initiative. In his new role, he is responsible for both our consumer business and our professional business in North America.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2024 Performance and Pay Decisions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Based on 2024 performance, the Committee concluded that:</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management delivered solid financial performance in 2024, achieving above target level adjusted earnings per share, below target organic sales growth and above target market share performance, and</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management continues to make good progress executing our strategies for our long-term success, including:</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launching our 2024 transformation initiative and realigning our structure to streamline our global supply chain and improve the efficiency of our corporate and regional overhead cost structures,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focusing on targeted growth initiatives and product innovations, </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continuing to enhance our commercial capabilities for long-term success,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aligning our portfolio, including the sale of our personal protective equipment (PPE) business,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emphasizing market share improvement in our priority markets,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leveraging cost and financial discipline to fund growth and improve margins, generating significant cost savings, and managing discretionary spending, and</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allocating capital in stockholder-friendly ways, increasing the annual dividend by 3.4 percent, and returning approximately $2.6 billion to stockholders through dividends and share repurchases.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As measured under our annual incentive program, we delivered the results below in organic sales growth and adjusted earnings per share (EPS).</w:t>
      </w:r>
    </w:p>
    <w:tbl>
      <w:tblPr>
        <w:tblW w:w="5830" w:type="dxa"/>
        <w:jc w:val="left"/>
        <w:tblInd w:w="0" w:type="dxa"/>
        <w:tblLayout w:type="fixed"/>
        <w:tblCellMar>
          <w:top w:w="28" w:type="dxa"/>
          <w:left w:w="28" w:type="dxa"/>
          <w:bottom w:w="28" w:type="dxa"/>
          <w:right w:w="28" w:type="dxa"/>
        </w:tblCellMar>
      </w:tblPr>
      <w:tblGrid>
        <w:gridCol w:w="967"/>
        <w:gridCol w:w="850"/>
        <w:gridCol w:w="853"/>
        <w:gridCol w:w="203"/>
        <w:gridCol w:w="203"/>
        <w:gridCol w:w="203"/>
        <w:gridCol w:w="233"/>
        <w:gridCol w:w="233"/>
        <w:gridCol w:w="511"/>
        <w:gridCol w:w="187"/>
        <w:gridCol w:w="187"/>
        <w:gridCol w:w="187"/>
        <w:gridCol w:w="233"/>
        <w:gridCol w:w="233"/>
        <w:gridCol w:w="547"/>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Performance Measure*</w:t>
            </w:r>
          </w:p>
        </w:tc>
        <w:tc>
          <w:tcPr>
            <w:tcW w:w="1586"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2024 Results</w:t>
            </w:r>
          </w:p>
        </w:tc>
        <w:tc>
          <w:tcPr>
            <w:tcW w:w="1574"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2024 Target</w:t>
            </w:r>
          </w:p>
        </w:tc>
      </w:tr>
      <w:tr>
        <w:trPr/>
        <w:tc>
          <w:tcPr>
            <w:tcW w:w="2670"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Organic sales growth</w:t>
            </w:r>
          </w:p>
        </w:tc>
        <w:tc>
          <w:tcPr>
            <w:tcW w:w="609"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3.2 </w:t>
            </w:r>
          </w:p>
        </w:tc>
        <w:tc>
          <w:tcPr>
            <w:tcW w:w="511"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561"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4.0 </w:t>
            </w:r>
          </w:p>
        </w:tc>
        <w:tc>
          <w:tcPr>
            <w:tcW w:w="547"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r>
      <w:tr>
        <w:trPr/>
        <w:tc>
          <w:tcPr>
            <w:tcW w:w="2670"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Adjusted EPS</w:t>
            </w:r>
          </w:p>
        </w:tc>
        <w:tc>
          <w:tcPr>
            <w:tcW w:w="609"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$7.36</w:t>
            </w:r>
          </w:p>
        </w:tc>
        <w:tc>
          <w:tcPr>
            <w:tcW w:w="561"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$6.95</w:t>
            </w:r>
          </w:p>
        </w:tc>
      </w:tr>
    </w:tbl>
    <w:p>
      <w:pPr>
        <w:pStyle w:val="TextBody"/>
        <w:bidi w:val="0"/>
        <w:spacing w:lineRule="auto" w:line="312" w:before="80" w:after="80"/>
        <w:ind w:left="0" w:right="0" w:hanging="216"/>
        <w:jc w:val="left"/>
        <w:rPr>
          <w:rFonts w:ascii="Lato;sans-serif" w:hAnsi="Lato;sans-serif"/>
          <w:b w:val="false"/>
          <w:color w:val="000000"/>
          <w:sz w:val="16"/>
        </w:rPr>
      </w:pPr>
      <w:r>
        <w:rPr>
          <w:rFonts w:ascii="Lato;sans-serif" w:hAnsi="Lato;sans-serif"/>
          <w:b w:val="false"/>
          <w:color w:val="000000"/>
          <w:sz w:val="16"/>
        </w:rPr>
        <w:t>*    Organic sales growth and Adjusted EPS are non-GAAP financial measures. See “2024 Performance Goals, Performance Assessments and Payouts” for additional information on how we use these measures to promote our pay-for-performance culture.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629920"/>
                <wp:effectExtent l="0" t="0" r="0" b="0"/>
                <wp:wrapNone/>
                <wp:docPr id="255" name="Frame5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50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50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475" w:type="dxa"/>
        <w:jc w:val="left"/>
        <w:tblInd w:w="0" w:type="dxa"/>
        <w:tblLayout w:type="fixed"/>
        <w:tblCellMar>
          <w:top w:w="28" w:type="dxa"/>
          <w:left w:w="28" w:type="dxa"/>
          <w:bottom w:w="28" w:type="dxa"/>
          <w:right w:w="28" w:type="dxa"/>
        </w:tblCellMar>
      </w:tblPr>
      <w:tblGrid>
        <w:gridCol w:w="188"/>
        <w:gridCol w:w="166"/>
        <w:gridCol w:w="167"/>
        <w:gridCol w:w="863"/>
        <w:gridCol w:w="863"/>
        <w:gridCol w:w="122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56"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00" descr=""/>
                          <pic:cNvPicPr>
                            <a:picLocks noChangeAspect="1" noChangeArrowheads="1"/>
                          </pic:cNvPicPr>
                        </pic:nvPicPr>
                        <pic:blipFill>
                          <a:blip r:embed="rId201"/>
                          <a:stretch>
                            <a:fillRect/>
                          </a:stretch>
                        </pic:blipFill>
                        <pic:spPr bwMode="auto">
                          <a:xfrm>
                            <a:off x="0" y="0"/>
                            <a:ext cx="228600" cy="180975"/>
                          </a:xfrm>
                          <a:prstGeom prst="rect">
                            <a:avLst/>
                          </a:prstGeom>
                        </pic:spPr>
                      </pic:pic>
                    </a:graphicData>
                  </a:graphic>
                </wp:inline>
              </w:drawing>
            </w: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discussion and analysis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For our additional corporate non-financial strategic performance goals, we achieved 110 percent for our market share goal and 100 percent for our inclusion, equity, and diversity goal.</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Based on our performance, the Committee concluded that management exceeded its financial targets for 2024 in the aggregate and achieved its non-financial targets. Accordingly, the Committee approved annual cash incentives for 2024 at the calculated payout amounts, which were above the target amounts, including an incentive payout for the CEO at 125 percent of his target payment amount.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The Committee evaluated the results of the three-year performance period for the performance-based restricted share units that were granted in 2022. Based on these results, the Committee determined that we exceeded our maximum performance goals for both organic sales growth and modified free cash flow. As a result, the payout percentage for the share units was 200 percent of target. </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At-Risk Compensation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Pay-for-performance is a key objective of our compensation programs. Consistent with that objective, at-risk compensation constituted a significant portion of our named executive officers’ direct annual compensation targets for 2024. Also, to further align the financial interests of our executives with those of our stockholders, a majority of our executives’ target direct compensation for 2024 was equity based.</w:t>
      </w:r>
    </w:p>
    <w:p>
      <w:pPr>
        <w:pStyle w:val="TextBody"/>
        <w:bidi w:val="0"/>
        <w:spacing w:lineRule="auto" w:line="288" w:before="0" w:after="220"/>
        <w:jc w:val="left"/>
        <w:rPr>
          <w:rFonts w:ascii="Lato Bold;sans-serif" w:hAnsi="Lato Bold;sans-serif"/>
          <w:b/>
          <w:color w:val="000000"/>
          <w:sz w:val="22"/>
        </w:rPr>
      </w:pPr>
      <w:r>
        <w:rPr>
          <w:rFonts w:ascii="Lato Bold;sans-serif" w:hAnsi="Lato Bold;sans-serif"/>
          <w:b/>
          <w:color w:val="000000"/>
          <w:sz w:val="22"/>
        </w:rPr>
        <w:t>Composition of Target Direct Compensation</w:t>
      </w:r>
    </w:p>
    <w:p>
      <w:pPr>
        <w:pStyle w:val="TextBody"/>
        <w:bidi w:val="0"/>
        <w:spacing w:lineRule="auto" w:line="288" w:before="0" w:after="0"/>
        <w:jc w:val="left"/>
        <w:rPr>
          <w:rFonts w:ascii="Lato Bold;sans-serif" w:hAnsi="Lato Bold;sans-serif"/>
          <w:b/>
          <w:color w:val="000000"/>
          <w:sz w:val="22"/>
        </w:rPr>
      </w:pPr>
      <w:r>
        <w:rPr>
          <w:rFonts w:ascii="Lato Bold;sans-serif" w:hAnsi="Lato Bold;sans-serif"/>
          <w:b/>
          <w:color w:val="000000"/>
          <w:sz w:val="22"/>
        </w:rPr>
        <w:t>Chairman and CEO</w:t>
      </w:r>
    </w:p>
    <w:p>
      <w:pPr>
        <w:pStyle w:val="TextBody"/>
        <w:bidi w:val="0"/>
        <w:spacing w:before="120" w:after="200"/>
        <w:jc w:val="left"/>
        <w:rPr/>
      </w:pPr>
      <w:r>
        <w:rPr/>
        <w:drawing>
          <wp:inline distT="0" distB="0" distL="0" distR="0">
            <wp:extent cx="6400800" cy="1628775"/>
            <wp:effectExtent l="0" t="0" r="0" b="0"/>
            <wp:docPr id="257"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01" descr=""/>
                    <pic:cNvPicPr>
                      <a:picLocks noChangeAspect="1" noChangeArrowheads="1"/>
                    </pic:cNvPicPr>
                  </pic:nvPicPr>
                  <pic:blipFill>
                    <a:blip r:embed="rId202"/>
                    <a:stretch>
                      <a:fillRect/>
                    </a:stretch>
                  </pic:blipFill>
                  <pic:spPr bwMode="auto">
                    <a:xfrm>
                      <a:off x="0" y="0"/>
                      <a:ext cx="6400800" cy="1628775"/>
                    </a:xfrm>
                    <a:prstGeom prst="rect">
                      <a:avLst/>
                    </a:prstGeom>
                  </pic:spPr>
                </pic:pic>
              </a:graphicData>
            </a:graphic>
          </wp:inline>
        </w:drawing>
      </w:r>
    </w:p>
    <w:p>
      <w:pPr>
        <w:pStyle w:val="TextBody"/>
        <w:bidi w:val="0"/>
        <w:spacing w:lineRule="auto" w:line="288" w:before="0" w:after="0"/>
        <w:jc w:val="left"/>
        <w:rPr>
          <w:rFonts w:ascii="Lato Bold;sans-serif" w:hAnsi="Lato Bold;sans-serif"/>
          <w:b/>
          <w:color w:val="000000"/>
          <w:sz w:val="22"/>
        </w:rPr>
      </w:pPr>
      <w:r>
        <w:rPr>
          <w:rFonts w:ascii="Lato Bold;sans-serif" w:hAnsi="Lato Bold;sans-serif"/>
          <w:b/>
          <w:color w:val="000000"/>
          <w:sz w:val="22"/>
        </w:rPr>
        <w:t>Average of Other Named Executive Officers</w:t>
      </w:r>
    </w:p>
    <w:p>
      <w:pPr>
        <w:pStyle w:val="TextBody"/>
        <w:bidi w:val="0"/>
        <w:spacing w:before="120" w:after="120"/>
        <w:jc w:val="left"/>
        <w:rPr/>
      </w:pPr>
      <w:r>
        <w:rPr/>
        <w:drawing>
          <wp:inline distT="0" distB="0" distL="0" distR="0">
            <wp:extent cx="6400800" cy="1628775"/>
            <wp:effectExtent l="0" t="0" r="0" b="0"/>
            <wp:docPr id="258"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02" descr=""/>
                    <pic:cNvPicPr>
                      <a:picLocks noChangeAspect="1" noChangeArrowheads="1"/>
                    </pic:cNvPicPr>
                  </pic:nvPicPr>
                  <pic:blipFill>
                    <a:blip r:embed="rId203"/>
                    <a:stretch>
                      <a:fillRect/>
                    </a:stretch>
                  </pic:blipFill>
                  <pic:spPr bwMode="auto">
                    <a:xfrm>
                      <a:off x="0" y="0"/>
                      <a:ext cx="6400800" cy="16287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629920"/>
                <wp:effectExtent l="0" t="0" r="0" b="0"/>
                <wp:wrapNone/>
                <wp:docPr id="259" name="Frame5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51</w:t>
                            </w:r>
                          </w:p>
                        </w:tc>
                      </w:tr>
                    </w:tbl>
                    <w:p>
                      <w:pPr>
                        <w:pStyle w:val="TextBody"/>
                        <w:bidi w:val="0"/>
                        <w:spacing w:before="0" w:after="283"/>
                        <w:jc w:val="left"/>
                        <w:rPr/>
                      </w:pPr>
                      <w:r>
                        <w:rPr/>
                      </w:r>
                    </w:p>
                  </w:txbxContent>
                </v:textbox>
                <w10:wrap type="none"/>
              </v:rect>
            </w:pict>
          </mc:Fallback>
        </mc:AlternateContent>
      </w:r>
    </w:p>
    <w:tbl>
      <w:tblPr>
        <w:tblW w:w="3476" w:type="dxa"/>
        <w:jc w:val="left"/>
        <w:tblInd w:w="0" w:type="dxa"/>
        <w:tblLayout w:type="fixed"/>
        <w:tblCellMar>
          <w:top w:w="28" w:type="dxa"/>
          <w:left w:w="28" w:type="dxa"/>
          <w:bottom w:w="28" w:type="dxa"/>
          <w:right w:w="28" w:type="dxa"/>
        </w:tblCellMar>
      </w:tblPr>
      <w:tblGrid>
        <w:gridCol w:w="1059"/>
        <w:gridCol w:w="932"/>
        <w:gridCol w:w="934"/>
        <w:gridCol w:w="161"/>
        <w:gridCol w:w="161"/>
        <w:gridCol w:w="22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4"/>
              </w:rPr>
            </w:pPr>
            <w:r>
              <w:rPr>
                <w:rFonts w:ascii="Lato Bold;sans-serif" w:hAnsi="Lato Bold;sans-serif"/>
                <w:b/>
                <w:color w:val="000000"/>
                <w:sz w:val="14"/>
              </w:rPr>
              <w:t>Compensation discussion and analysis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60"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03" descr=""/>
                          <pic:cNvPicPr>
                            <a:picLocks noChangeAspect="1" noChangeArrowheads="1"/>
                          </pic:cNvPicPr>
                        </pic:nvPicPr>
                        <pic:blipFill>
                          <a:blip r:embed="rId204"/>
                          <a:stretch>
                            <a:fillRect/>
                          </a:stretch>
                        </pic:blipFill>
                        <pic:spPr bwMode="auto">
                          <a:xfrm>
                            <a:off x="0" y="0"/>
                            <a:ext cx="228600" cy="180975"/>
                          </a:xfrm>
                          <a:prstGeom prst="rect">
                            <a:avLst/>
                          </a:prstGeom>
                        </pic:spPr>
                      </pic:pic>
                    </a:graphicData>
                  </a:graphic>
                </wp:inline>
              </w:drawing>
            </w:r>
            <w:r>
              <w:rPr>
                <w:color w:val="000000"/>
              </w:rPr>
              <w:t> </w:t>
            </w:r>
          </w:p>
        </w:tc>
      </w:tr>
      <w:tr>
        <w:trPr/>
        <w:tc>
          <w:tcPr>
            <w:tcW w:w="29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Committee Consideration of 2024 Stockholder Advisory Vote</w:t>
      </w:r>
    </w:p>
    <w:tbl>
      <w:tblPr>
        <w:tblW w:w="10205" w:type="dxa"/>
        <w:jc w:val="left"/>
        <w:tblInd w:w="0" w:type="dxa"/>
        <w:tblLayout w:type="fixed"/>
        <w:tblCellMar>
          <w:top w:w="28" w:type="dxa"/>
          <w:left w:w="28" w:type="dxa"/>
          <w:bottom w:w="28" w:type="dxa"/>
          <w:right w:w="28" w:type="dxa"/>
        </w:tblCellMar>
      </w:tblPr>
      <w:tblGrid>
        <w:gridCol w:w="1204"/>
        <w:gridCol w:w="1059"/>
        <w:gridCol w:w="1060"/>
        <w:gridCol w:w="2014"/>
        <w:gridCol w:w="2014"/>
        <w:gridCol w:w="2854"/>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r>
      <w:tr>
        <w:trPr/>
        <w:tc>
          <w:tcPr>
            <w:tcW w:w="3323"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2" w:type="dxa"/>
            <w:gridSpan w:val="3"/>
            <w:tcBorders>
              <w:top w:val="single" w:sz="16"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3"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1438275" cy="1438275"/>
                  <wp:effectExtent l="0" t="0" r="0" b="0"/>
                  <wp:docPr id="261"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04" descr=""/>
                          <pic:cNvPicPr>
                            <a:picLocks noChangeAspect="1" noChangeArrowheads="1"/>
                          </pic:cNvPicPr>
                        </pic:nvPicPr>
                        <pic:blipFill>
                          <a:blip r:embed="rId205"/>
                          <a:stretch>
                            <a:fillRect/>
                          </a:stretch>
                        </pic:blipFill>
                        <pic:spPr bwMode="auto">
                          <a:xfrm>
                            <a:off x="0" y="0"/>
                            <a:ext cx="1438275" cy="1438275"/>
                          </a:xfrm>
                          <a:prstGeom prst="rect">
                            <a:avLst/>
                          </a:prstGeom>
                        </pic:spPr>
                      </pic:pic>
                    </a:graphicData>
                  </a:graphic>
                </wp:inline>
              </w:drawing>
            </w:r>
          </w:p>
          <w:p>
            <w:pPr>
              <w:pStyle w:val="TableContents"/>
              <w:bidi w:val="0"/>
              <w:spacing w:lineRule="auto" w:line="312" w:before="120" w:after="120"/>
              <w:jc w:val="center"/>
              <w:rPr>
                <w:rFonts w:ascii="Lato;sans-serif" w:hAnsi="Lato;sans-serif"/>
                <w:b w:val="false"/>
                <w:i/>
                <w:color w:val="000000"/>
                <w:sz w:val="16"/>
              </w:rPr>
            </w:pPr>
            <w:r>
              <w:rPr>
                <w:rFonts w:ascii="Lato;sans-serif" w:hAnsi="Lato;sans-serif"/>
                <w:b w:val="false"/>
                <w:i/>
                <w:color w:val="000000"/>
                <w:sz w:val="16"/>
              </w:rPr>
              <w:t>At our 2024 Annual Meeting, our executive compensation program received the support of approximately 90% of shares represented at the meeting.</w:t>
            </w:r>
          </w:p>
        </w:tc>
        <w:tc>
          <w:tcPr>
            <w:tcW w:w="6882" w:type="dxa"/>
            <w:gridSpan w:val="3"/>
            <w:tcBorders>
              <w:left w:val="single" w:sz="4" w:space="0" w:color="BCBEC0"/>
            </w:tcBorders>
            <w:tcMar>
              <w:top w:w="0" w:type="dxa"/>
              <w:left w:w="308"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The Committee has considered the results of this vote and views this outcome as evidence of stockholder support of its executive compensation decisions and policies. Accordingly, we continued our general approach to compensation for 2025, specifically our pay-for-performance philosophy and our efforts to attract, retain, and motivate our executives. The Committee will continue to review the annual stockholder votes on our executive compensation program and determine whether to make any changes in light of the results.</w:t>
            </w:r>
          </w:p>
        </w:tc>
      </w:tr>
      <w:tr>
        <w:trPr/>
        <w:tc>
          <w:tcPr>
            <w:tcW w:w="3323"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82" w:type="dxa"/>
            <w:gridSpan w:val="3"/>
            <w:tcBorders>
              <w:bottom w:val="single" w:sz="16"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629920"/>
                <wp:effectExtent l="0" t="0" r="0" b="0"/>
                <wp:wrapNone/>
                <wp:docPr id="262" name="Frame5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52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52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475" w:type="dxa"/>
        <w:jc w:val="left"/>
        <w:tblInd w:w="0" w:type="dxa"/>
        <w:tblLayout w:type="fixed"/>
        <w:tblCellMar>
          <w:top w:w="28" w:type="dxa"/>
          <w:left w:w="28" w:type="dxa"/>
          <w:bottom w:w="28" w:type="dxa"/>
          <w:right w:w="28" w:type="dxa"/>
        </w:tblCellMar>
      </w:tblPr>
      <w:tblGrid>
        <w:gridCol w:w="188"/>
        <w:gridCol w:w="166"/>
        <w:gridCol w:w="167"/>
        <w:gridCol w:w="863"/>
        <w:gridCol w:w="863"/>
        <w:gridCol w:w="122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63"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05" descr=""/>
                          <pic:cNvPicPr>
                            <a:picLocks noChangeAspect="1" noChangeArrowheads="1"/>
                          </pic:cNvPicPr>
                        </pic:nvPicPr>
                        <pic:blipFill>
                          <a:blip r:embed="rId206"/>
                          <a:stretch>
                            <a:fillRect/>
                          </a:stretch>
                        </pic:blipFill>
                        <pic:spPr bwMode="auto">
                          <a:xfrm>
                            <a:off x="0" y="0"/>
                            <a:ext cx="228600" cy="180975"/>
                          </a:xfrm>
                          <a:prstGeom prst="rect">
                            <a:avLst/>
                          </a:prstGeom>
                        </pic:spPr>
                      </pic:pic>
                    </a:graphicData>
                  </a:graphic>
                </wp:inline>
              </w:drawing>
            </w: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discussion and analysis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Executive Compensation Objectives and Policies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Committee establishes and administers our policies governing the compensation of our elected officers, including our named executive officers. The Committee reviews our compensation philosophy annually and determines whether it supports our business objectives and is consistent with the Committee’s charter.</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Committee has adopted executive compensation policies that are designed to achieve the following objectives:</w:t>
      </w:r>
    </w:p>
    <w:tbl>
      <w:tblPr>
        <w:tblW w:w="10205" w:type="dxa"/>
        <w:jc w:val="left"/>
        <w:tblInd w:w="0" w:type="dxa"/>
        <w:tblLayout w:type="fixed"/>
        <w:tblCellMar>
          <w:top w:w="28" w:type="dxa"/>
          <w:left w:w="28" w:type="dxa"/>
          <w:bottom w:w="28" w:type="dxa"/>
          <w:right w:w="28" w:type="dxa"/>
        </w:tblCellMar>
      </w:tblPr>
      <w:tblGrid>
        <w:gridCol w:w="793"/>
        <w:gridCol w:w="697"/>
        <w:gridCol w:w="703"/>
        <w:gridCol w:w="1197"/>
        <w:gridCol w:w="1197"/>
        <w:gridCol w:w="1203"/>
        <w:gridCol w:w="2019"/>
        <w:gridCol w:w="1065"/>
        <w:gridCol w:w="1331"/>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Objective</w:t>
            </w:r>
          </w:p>
        </w:tc>
        <w:tc>
          <w:tcPr>
            <w:tcW w:w="35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Description</w:t>
            </w:r>
          </w:p>
        </w:tc>
        <w:tc>
          <w:tcPr>
            <w:tcW w:w="4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Related Policies</w:t>
            </w:r>
          </w:p>
        </w:tc>
      </w:tr>
      <w:tr>
        <w:trPr/>
        <w:tc>
          <w:tcPr>
            <w:tcW w:w="2193"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Pay-for-Performance</w:t>
            </w:r>
          </w:p>
        </w:tc>
        <w:tc>
          <w:tcPr>
            <w:tcW w:w="359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Support a performance-oriented environment that rewards achievement of our financial and non-financial goals.</w:t>
            </w:r>
          </w:p>
        </w:tc>
        <w:tc>
          <w:tcPr>
            <w:tcW w:w="441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Our named executive officers’ pay varies with the levels at which annual and long-term performance goals are achieved. The Committee chooses performance goals that align with our strategies for sustained growth and profitability.</w:t>
            </w:r>
          </w:p>
        </w:tc>
      </w:tr>
      <w:tr>
        <w:trPr/>
        <w:tc>
          <w:tcPr>
            <w:tcW w:w="2193"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Focus on Long-Term Success</w:t>
            </w:r>
          </w:p>
        </w:tc>
        <w:tc>
          <w:tcPr>
            <w:tcW w:w="359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Reward executives for long-term strategic management and stockholder value enhancement.</w:t>
            </w:r>
          </w:p>
        </w:tc>
        <w:tc>
          <w:tcPr>
            <w:tcW w:w="441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The largest single component of our named executive officers’ annual target compensation is in the form of performance-based restricted share units. The number of shares actually received on payout of these units depends on our performance over a three-year period.</w:t>
            </w:r>
          </w:p>
        </w:tc>
      </w:tr>
      <w:tr>
        <w:trPr/>
        <w:tc>
          <w:tcPr>
            <w:tcW w:w="2193"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Stockholder Alignment</w:t>
            </w:r>
          </w:p>
        </w:tc>
        <w:tc>
          <w:tcPr>
            <w:tcW w:w="359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Align the financial interests of our executives with those of our stockholders.</w:t>
            </w:r>
          </w:p>
        </w:tc>
        <w:tc>
          <w:tcPr>
            <w:tcW w:w="441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Equity-based awards make up the largest part of our named executive officers’ annual target compensation. Our named executive officers receive performance-based and time-vested restricted share units which pay out in shares of our common stock. We also have other policies that link our executives’ interests with those of our stockholders, including target stock ownership guidelines.</w:t>
            </w:r>
          </w:p>
        </w:tc>
      </w:tr>
      <w:tr>
        <w:trPr/>
        <w:tc>
          <w:tcPr>
            <w:tcW w:w="2193"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Quality of Talent &amp; Retention</w:t>
            </w:r>
          </w:p>
        </w:tc>
        <w:tc>
          <w:tcPr>
            <w:tcW w:w="359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Attract and retain highly skilled executives whose abilities are considered essential to our long-term success as a global company operating our North America, International Personal Care (IPC) and International Family Care and professional (IFP) businesses.</w:t>
            </w:r>
          </w:p>
        </w:tc>
        <w:tc>
          <w:tcPr>
            <w:tcW w:w="441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The Committee reviews peer group data to ensure our executive compensation program remains competitive so we can continue to attract and retain this talent. From time to time, we recruit executives from other industries with relevant critical skills needed to support our strategic priorities.</w:t>
            </w:r>
          </w:p>
        </w:tc>
      </w:tr>
      <w:tr>
        <w:trPr/>
        <w:tc>
          <w:tcPr>
            <w:tcW w:w="2193"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These compensation objectives and policies seek to align the compensation of our elected officers, including our named executive officers, with our strategic objectives to:</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grow our portfolio of brands through innovation, category development, and commercial execution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leverage our cost and financial discipline to fund growth and improve margins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allocate capital in value-creating ways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629920"/>
                <wp:effectExtent l="0" t="0" r="0" b="0"/>
                <wp:wrapNone/>
                <wp:docPr id="264" name="Frame5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53</w:t>
                            </w:r>
                          </w:p>
                        </w:tc>
                      </w:tr>
                    </w:tbl>
                    <w:p>
                      <w:pPr>
                        <w:pStyle w:val="TextBody"/>
                        <w:bidi w:val="0"/>
                        <w:spacing w:before="0" w:after="283"/>
                        <w:jc w:val="left"/>
                        <w:rPr/>
                      </w:pPr>
                      <w:r>
                        <w:rPr/>
                      </w:r>
                    </w:p>
                  </w:txbxContent>
                </v:textbox>
                <w10:wrap type="none"/>
              </v:rect>
            </w:pict>
          </mc:Fallback>
        </mc:AlternateContent>
      </w:r>
    </w:p>
    <w:tbl>
      <w:tblPr>
        <w:tblW w:w="3476" w:type="dxa"/>
        <w:jc w:val="left"/>
        <w:tblInd w:w="0" w:type="dxa"/>
        <w:tblLayout w:type="fixed"/>
        <w:tblCellMar>
          <w:top w:w="28" w:type="dxa"/>
          <w:left w:w="28" w:type="dxa"/>
          <w:bottom w:w="28" w:type="dxa"/>
          <w:right w:w="28" w:type="dxa"/>
        </w:tblCellMar>
      </w:tblPr>
      <w:tblGrid>
        <w:gridCol w:w="1059"/>
        <w:gridCol w:w="932"/>
        <w:gridCol w:w="934"/>
        <w:gridCol w:w="161"/>
        <w:gridCol w:w="161"/>
        <w:gridCol w:w="22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4"/>
              </w:rPr>
            </w:pPr>
            <w:r>
              <w:rPr>
                <w:rFonts w:ascii="Lato Bold;sans-serif" w:hAnsi="Lato Bold;sans-serif"/>
                <w:b/>
                <w:color w:val="000000"/>
                <w:sz w:val="14"/>
              </w:rPr>
              <w:t>Compensation discussion and analysis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65"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06" descr=""/>
                          <pic:cNvPicPr>
                            <a:picLocks noChangeAspect="1" noChangeArrowheads="1"/>
                          </pic:cNvPicPr>
                        </pic:nvPicPr>
                        <pic:blipFill>
                          <a:blip r:embed="rId207"/>
                          <a:stretch>
                            <a:fillRect/>
                          </a:stretch>
                        </pic:blipFill>
                        <pic:spPr bwMode="auto">
                          <a:xfrm>
                            <a:off x="0" y="0"/>
                            <a:ext cx="228600" cy="180975"/>
                          </a:xfrm>
                          <a:prstGeom prst="rect">
                            <a:avLst/>
                          </a:prstGeom>
                        </pic:spPr>
                      </pic:pic>
                    </a:graphicData>
                  </a:graphic>
                </wp:inline>
              </w:drawing>
            </w:r>
            <w:r>
              <w:rPr>
                <w:color w:val="000000"/>
              </w:rPr>
              <w:t> </w:t>
            </w:r>
          </w:p>
        </w:tc>
      </w:tr>
      <w:tr>
        <w:trPr/>
        <w:tc>
          <w:tcPr>
            <w:tcW w:w="29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Components of Our Executive Compensation Program</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table below gives an overview of the compensation components used in our program and matches each with one or more of the objectives described above.</w:t>
      </w:r>
    </w:p>
    <w:tbl>
      <w:tblPr>
        <w:tblW w:w="10205" w:type="dxa"/>
        <w:jc w:val="left"/>
        <w:tblInd w:w="0" w:type="dxa"/>
        <w:tblLayout w:type="fixed"/>
        <w:tblCellMar>
          <w:top w:w="28" w:type="dxa"/>
          <w:left w:w="28" w:type="dxa"/>
          <w:bottom w:w="28" w:type="dxa"/>
          <w:right w:w="28" w:type="dxa"/>
        </w:tblCellMar>
      </w:tblPr>
      <w:tblGrid>
        <w:gridCol w:w="787"/>
        <w:gridCol w:w="648"/>
        <w:gridCol w:w="506"/>
        <w:gridCol w:w="780"/>
        <w:gridCol w:w="780"/>
        <w:gridCol w:w="784"/>
        <w:gridCol w:w="2002"/>
        <w:gridCol w:w="1614"/>
        <w:gridCol w:w="2304"/>
      </w:tblGrid>
      <w:tr>
        <w:trPr/>
        <w:tc>
          <w:tcPr>
            <w:tcW w:w="78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Component</w:t>
            </w:r>
          </w:p>
        </w:tc>
        <w:tc>
          <w:tcPr>
            <w:tcW w:w="2344"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Objectives</w:t>
            </w:r>
          </w:p>
        </w:tc>
        <w:tc>
          <w:tcPr>
            <w:tcW w:w="5920"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9"/>
              </w:rPr>
            </w:pPr>
            <w:r>
              <w:rPr>
                <w:rFonts w:ascii="Lato Bold;sans-serif" w:hAnsi="Lato Bold;sans-serif"/>
                <w:b/>
                <w:color w:val="000000"/>
                <w:sz w:val="19"/>
              </w:rPr>
              <w:t>Purpose</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op w:val="single" w:sz="16" w:space="0" w:color="00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top w:val="single" w:sz="16" w:space="0" w:color="00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op w:val="single" w:sz="16" w:space="0" w:color="00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B3B3B3" w:val="clear"/>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Base salary</w:t>
            </w:r>
          </w:p>
        </w:tc>
        <w:tc>
          <w:tcPr>
            <w:tcW w:w="234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Quality of Talent</w:t>
            </w:r>
          </w:p>
        </w:tc>
        <w:tc>
          <w:tcPr>
            <w:tcW w:w="5920" w:type="dxa"/>
            <w:gridSpan w:val="3"/>
            <w:tcBorders/>
            <w:shd w:fill="FFFFFF" w:val="clear"/>
            <w:tcMar>
              <w:top w:w="0" w:type="dxa"/>
              <w:left w:w="0" w:type="dxa"/>
              <w:bottom w:w="0" w:type="dxa"/>
              <w:right w:w="0" w:type="dxa"/>
            </w:tcMar>
            <w:vAlign w:val="center"/>
          </w:tcPr>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Provide annual cash income based on:</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level of responsibility, skills, experience, and performance</w:t>
            </w:r>
          </w:p>
          <w:p>
            <w:pPr>
              <w:pStyle w:val="TableContents"/>
              <w:bidi w:val="0"/>
              <w:spacing w:lineRule="auto" w:line="312" w:before="80" w:after="283"/>
              <w:ind w:left="0" w:right="0" w:hanging="216"/>
              <w:jc w:val="left"/>
              <w:rPr/>
            </w:pPr>
            <w:r>
              <w:rPr>
                <w:color w:val="0046C8"/>
              </w:rPr>
              <w:t>•</w:t>
            </w:r>
            <w:r>
              <w:rPr>
                <w:rFonts w:ascii="Lato;sans-serif" w:hAnsi="Lato;sans-serif"/>
                <w:b w:val="false"/>
                <w:color w:val="000000"/>
                <w:sz w:val="19"/>
              </w:rPr>
              <w:t>comparison to market pay information</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0046C8"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FFFFFF"/>
                <w:sz w:val="18"/>
              </w:rPr>
            </w:pPr>
            <w:r>
              <w:rPr>
                <w:rFonts w:ascii="Lato Bold;sans-serif" w:hAnsi="Lato Bold;sans-serif"/>
                <w:b/>
                <w:color w:val="FFFFFF"/>
                <w:sz w:val="18"/>
              </w:rPr>
              <w:t>Annual cash</w:t>
              <w:br/>
              <w:t>incentive</w:t>
            </w:r>
          </w:p>
        </w:tc>
        <w:tc>
          <w:tcPr>
            <w:tcW w:w="234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Pay-for-Performance</w:t>
            </w:r>
          </w:p>
        </w:tc>
        <w:tc>
          <w:tcPr>
            <w:tcW w:w="5920" w:type="dxa"/>
            <w:gridSpan w:val="3"/>
            <w:tcBorders/>
            <w:shd w:fill="FFFFFF" w:val="clear"/>
            <w:tcMar>
              <w:top w:w="0" w:type="dxa"/>
              <w:left w:w="0" w:type="dxa"/>
              <w:bottom w:w="0" w:type="dxa"/>
              <w:right w:w="0" w:type="dxa"/>
            </w:tcMar>
            <w:vAlign w:val="center"/>
          </w:tcPr>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Motivate and reward achievement of the following annual performance goals: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corporate key financial goals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other corporate non-financial strategic performance goals</w:t>
            </w:r>
          </w:p>
          <w:p>
            <w:pPr>
              <w:pStyle w:val="TableContents"/>
              <w:bidi w:val="0"/>
              <w:spacing w:lineRule="auto" w:line="312" w:before="80" w:after="283"/>
              <w:ind w:left="0" w:right="0" w:hanging="216"/>
              <w:jc w:val="left"/>
              <w:rPr/>
            </w:pPr>
            <w:r>
              <w:rPr>
                <w:color w:val="0046C8"/>
              </w:rPr>
              <w:t>•</w:t>
            </w:r>
            <w:r>
              <w:rPr>
                <w:rFonts w:ascii="Lato;sans-serif" w:hAnsi="Lato;sans-serif"/>
                <w:b w:val="false"/>
                <w:color w:val="000000"/>
                <w:sz w:val="19"/>
              </w:rPr>
              <w:t>performance of the operational business unit of the individual, as applicable</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4074D6"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FFFFFF"/>
                <w:sz w:val="18"/>
              </w:rPr>
            </w:pPr>
            <w:r>
              <w:rPr>
                <w:rFonts w:ascii="Lato Bold;sans-serif" w:hAnsi="Lato Bold;sans-serif"/>
                <w:b/>
                <w:color w:val="FFFFFF"/>
                <w:sz w:val="18"/>
              </w:rPr>
              <w:t>Long-term equity</w:t>
              <w:br/>
              <w:t>incentive</w:t>
            </w:r>
          </w:p>
        </w:tc>
        <w:tc>
          <w:tcPr>
            <w:tcW w:w="2344" w:type="dxa"/>
            <w:gridSpan w:val="3"/>
            <w:tcBorders/>
            <w:shd w:fill="FFFFFF" w:val="clear"/>
            <w:tcMar>
              <w:top w:w="0" w:type="dxa"/>
              <w:left w:w="0" w:type="dxa"/>
              <w:bottom w:w="0" w:type="dxa"/>
              <w:right w:w="0" w:type="dxa"/>
            </w:tcMar>
            <w:vAlign w:val="center"/>
          </w:tcPr>
          <w:p>
            <w:pPr>
              <w:pStyle w:val="TableContents"/>
              <w:bidi w:val="0"/>
              <w:spacing w:lineRule="auto" w:line="312" w:before="0" w:after="60"/>
              <w:jc w:val="left"/>
              <w:rPr>
                <w:rFonts w:ascii="Lato;sans-serif" w:hAnsi="Lato;sans-serif"/>
                <w:b w:val="false"/>
                <w:color w:val="000000"/>
                <w:sz w:val="19"/>
              </w:rPr>
            </w:pPr>
            <w:r>
              <w:rPr>
                <w:rFonts w:ascii="Lato;sans-serif" w:hAnsi="Lato;sans-serif"/>
                <w:b w:val="false"/>
                <w:color w:val="000000"/>
                <w:sz w:val="19"/>
              </w:rPr>
              <w:t>Stockholder Alignment</w:t>
            </w:r>
          </w:p>
          <w:p>
            <w:pPr>
              <w:pStyle w:val="TableContents"/>
              <w:bidi w:val="0"/>
              <w:spacing w:lineRule="auto" w:line="312" w:before="60" w:after="60"/>
              <w:jc w:val="left"/>
              <w:rPr>
                <w:rFonts w:ascii="Lato;sans-serif" w:hAnsi="Lato;sans-serif"/>
                <w:b w:val="false"/>
                <w:color w:val="000000"/>
                <w:sz w:val="19"/>
              </w:rPr>
            </w:pPr>
            <w:r>
              <w:rPr>
                <w:rFonts w:ascii="Lato;sans-serif" w:hAnsi="Lato;sans-serif"/>
                <w:b w:val="false"/>
                <w:color w:val="000000"/>
                <w:sz w:val="19"/>
              </w:rPr>
              <w:t>Focus on Long-Term Success</w:t>
            </w:r>
          </w:p>
          <w:p>
            <w:pPr>
              <w:pStyle w:val="TableContents"/>
              <w:bidi w:val="0"/>
              <w:spacing w:lineRule="auto" w:line="312" w:before="60" w:after="60"/>
              <w:jc w:val="left"/>
              <w:rPr>
                <w:rFonts w:ascii="Lato;sans-serif" w:hAnsi="Lato;sans-serif"/>
                <w:b w:val="false"/>
                <w:color w:val="000000"/>
                <w:sz w:val="19"/>
              </w:rPr>
            </w:pPr>
            <w:r>
              <w:rPr>
                <w:rFonts w:ascii="Lato;sans-serif" w:hAnsi="Lato;sans-serif"/>
                <w:b w:val="false"/>
                <w:color w:val="000000"/>
                <w:sz w:val="19"/>
              </w:rPr>
              <w:t>Pay-for-Performance</w:t>
            </w:r>
          </w:p>
          <w:p>
            <w:pPr>
              <w:pStyle w:val="TableContents"/>
              <w:bidi w:val="0"/>
              <w:spacing w:lineRule="auto" w:line="312" w:before="60" w:after="283"/>
              <w:jc w:val="left"/>
              <w:rPr>
                <w:rFonts w:ascii="Lato;sans-serif" w:hAnsi="Lato;sans-serif"/>
                <w:b w:val="false"/>
                <w:color w:val="000000"/>
                <w:sz w:val="19"/>
              </w:rPr>
            </w:pPr>
            <w:r>
              <w:rPr>
                <w:rFonts w:ascii="Lato;sans-serif" w:hAnsi="Lato;sans-serif"/>
                <w:b w:val="false"/>
                <w:color w:val="000000"/>
                <w:sz w:val="19"/>
              </w:rPr>
              <w:t>Quality of Talent &amp; Retention</w:t>
            </w:r>
          </w:p>
        </w:tc>
        <w:tc>
          <w:tcPr>
            <w:tcW w:w="5920" w:type="dxa"/>
            <w:gridSpan w:val="3"/>
            <w:tcBorders/>
            <w:shd w:fill="FFFFFF" w:val="clear"/>
            <w:tcMar>
              <w:top w:w="0" w:type="dxa"/>
              <w:left w:w="0" w:type="dxa"/>
              <w:bottom w:w="0" w:type="dxa"/>
              <w:right w:w="0" w:type="dxa"/>
            </w:tcMar>
            <w:vAlign w:val="center"/>
          </w:tcPr>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Provide an incentive to deliver stockholder value and to achieve our long-term objectives, through annual awards of:</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performance-based restricted share units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time-vested restricted share units</w:t>
            </w:r>
          </w:p>
          <w:p>
            <w:pPr>
              <w:pStyle w:val="TableContents"/>
              <w:bidi w:val="0"/>
              <w:spacing w:lineRule="auto" w:line="312" w:before="120" w:after="283"/>
              <w:jc w:val="left"/>
              <w:rPr>
                <w:rFonts w:ascii="Lato;sans-serif" w:hAnsi="Lato;sans-serif"/>
                <w:b w:val="false"/>
                <w:color w:val="000000"/>
                <w:sz w:val="19"/>
              </w:rPr>
            </w:pPr>
            <w:r>
              <w:rPr>
                <w:rFonts w:ascii="Lato;sans-serif" w:hAnsi="Lato;sans-serif"/>
                <w:b w:val="false"/>
                <w:color w:val="000000"/>
                <w:sz w:val="19"/>
              </w:rPr>
              <w:t>Additional time-vested restricted share units may be granted from time to time for recruiting, retention, or other purposes</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Retirement benefits</w:t>
            </w:r>
          </w:p>
        </w:tc>
        <w:tc>
          <w:tcPr>
            <w:tcW w:w="234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Quality of Talent</w:t>
            </w:r>
          </w:p>
        </w:tc>
        <w:tc>
          <w:tcPr>
            <w:tcW w:w="592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Provide competitive retirement plan benefits through 401(k) plan and other defined contribution plans</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Perquisites</w:t>
            </w:r>
          </w:p>
        </w:tc>
        <w:tc>
          <w:tcPr>
            <w:tcW w:w="234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Quality of Talent</w:t>
            </w:r>
          </w:p>
        </w:tc>
        <w:tc>
          <w:tcPr>
            <w:tcW w:w="592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Provide minimal additional benefits</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top w:val="single" w:sz="4" w:space="0" w:color="B3B3B3"/>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8"/>
              </w:rPr>
            </w:pPr>
            <w:r>
              <w:rPr>
                <w:rFonts w:ascii="Lato Bold;sans-serif" w:hAnsi="Lato Bold;sans-serif"/>
                <w:b/>
                <w:color w:val="000000"/>
                <w:sz w:val="18"/>
              </w:rPr>
              <w:t>Post-termination</w:t>
              <w:br/>
              <w:t>compensation</w:t>
              <w:br/>
              <w:t>(severance and</w:t>
              <w:br/>
              <w:t>change of control)</w:t>
            </w:r>
          </w:p>
        </w:tc>
        <w:tc>
          <w:tcPr>
            <w:tcW w:w="2344"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Quality of Talent &amp; Retention</w:t>
            </w:r>
          </w:p>
        </w:tc>
        <w:tc>
          <w:tcPr>
            <w:tcW w:w="5920" w:type="dxa"/>
            <w:gridSpan w:val="3"/>
            <w:tcBorders/>
            <w:shd w:fill="FFFFFF" w:val="clear"/>
            <w:tcMar>
              <w:top w:w="0" w:type="dxa"/>
              <w:left w:w="0" w:type="dxa"/>
              <w:bottom w:w="0" w:type="dxa"/>
              <w:right w:w="0" w:type="dxa"/>
            </w:tcMar>
            <w:vAlign w:val="center"/>
          </w:tcPr>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Encourage attraction and retention of executives critical to our long-term success and competitiveness: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Severance Pay Plan, which provides eligible employees, including executives, payments and benefits in the event of certain involuntary terminations</w:t>
            </w:r>
          </w:p>
          <w:p>
            <w:pPr>
              <w:pStyle w:val="TableContents"/>
              <w:bidi w:val="0"/>
              <w:spacing w:lineRule="auto" w:line="312" w:before="80" w:after="283"/>
              <w:ind w:left="0" w:right="0" w:hanging="216"/>
              <w:jc w:val="left"/>
              <w:rPr/>
            </w:pPr>
            <w:r>
              <w:rPr>
                <w:color w:val="0046C8"/>
              </w:rPr>
              <w:t>•</w:t>
            </w:r>
            <w:r>
              <w:rPr>
                <w:rFonts w:ascii="Lato;sans-serif" w:hAnsi="Lato;sans-serif"/>
                <w:b w:val="false"/>
                <w:color w:val="000000"/>
                <w:sz w:val="19"/>
              </w:rPr>
              <w:t>Executive Severance Program, which provides eligible employees, including executives, payments in the event of a qualified separation of service following a change of control</w:t>
            </w:r>
          </w:p>
        </w:tc>
      </w:tr>
      <w:tr>
        <w:trPr/>
        <w:tc>
          <w:tcPr>
            <w:tcW w:w="1941" w:type="dxa"/>
            <w:gridSpan w:val="3"/>
            <w:tcBorders>
              <w:bottom w:val="single" w:sz="16" w:space="0" w:color="0046C8"/>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bottom w:val="single" w:sz="16" w:space="0" w:color="0046C8"/>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20" w:type="dxa"/>
            <w:gridSpan w:val="3"/>
            <w:tcBorders>
              <w:bottom w:val="single" w:sz="16" w:space="0" w:color="0046C8"/>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629920"/>
                <wp:effectExtent l="0" t="0" r="0" b="0"/>
                <wp:wrapNone/>
                <wp:docPr id="266" name="Frame6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54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54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475" w:type="dxa"/>
        <w:jc w:val="left"/>
        <w:tblInd w:w="0" w:type="dxa"/>
        <w:tblLayout w:type="fixed"/>
        <w:tblCellMar>
          <w:top w:w="28" w:type="dxa"/>
          <w:left w:w="28" w:type="dxa"/>
          <w:bottom w:w="28" w:type="dxa"/>
          <w:right w:w="28" w:type="dxa"/>
        </w:tblCellMar>
      </w:tblPr>
      <w:tblGrid>
        <w:gridCol w:w="188"/>
        <w:gridCol w:w="166"/>
        <w:gridCol w:w="167"/>
        <w:gridCol w:w="863"/>
        <w:gridCol w:w="863"/>
        <w:gridCol w:w="122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6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07" descr=""/>
                          <pic:cNvPicPr>
                            <a:picLocks noChangeAspect="1" noChangeArrowheads="1"/>
                          </pic:cNvPicPr>
                        </pic:nvPicPr>
                        <pic:blipFill>
                          <a:blip r:embed="rId208"/>
                          <a:stretch>
                            <a:fillRect/>
                          </a:stretch>
                        </pic:blipFill>
                        <pic:spPr bwMode="auto">
                          <a:xfrm>
                            <a:off x="0" y="0"/>
                            <a:ext cx="228600" cy="180975"/>
                          </a:xfrm>
                          <a:prstGeom prst="rect">
                            <a:avLst/>
                          </a:prstGeom>
                        </pic:spPr>
                      </pic:pic>
                    </a:graphicData>
                  </a:graphic>
                </wp:inline>
              </w:drawing>
            </w: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discussion and analysis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Setting Annual Compensation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This section describes how the Committee thinks about annual compensation and the processes that it followed in setting 2024 target annual compensation for our named executive officers.</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Focus on Direct Annual Compensation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setting 2024 compensation for our executive officers, including our CEO, the Committee focused on direct annual compensation, which consists of annual cash compensation (base salary and annual cash incentive) and long-term equity incentive compensation (performance-based restricted share units and time-vested restricted share units). The Committee considered annual cash and long-term equity incentive compensation both separately and as a package to help ensure that our executive compensation objectives are met.</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 xml:space="preserve">Executive Compensation Peer Group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To ensure that our executive compensation programs are reasonable and competitive in the marketplace, the Committee compares our programs to those at peer companies. In 2024, the Committee used the following peer group that contains consumer goods and business-to-business companies of a similar size against whom we compete for talent:</w:t>
      </w:r>
    </w:p>
    <w:tbl>
      <w:tblPr>
        <w:tblW w:w="6941" w:type="dxa"/>
        <w:jc w:val="left"/>
        <w:tblInd w:w="0" w:type="dxa"/>
        <w:tblLayout w:type="fixed"/>
        <w:tblCellMar>
          <w:top w:w="28" w:type="dxa"/>
          <w:left w:w="28" w:type="dxa"/>
          <w:bottom w:w="28" w:type="dxa"/>
          <w:right w:w="28" w:type="dxa"/>
        </w:tblCellMar>
      </w:tblPr>
      <w:tblGrid>
        <w:gridCol w:w="995"/>
        <w:gridCol w:w="610"/>
        <w:gridCol w:w="507"/>
        <w:gridCol w:w="815"/>
        <w:gridCol w:w="815"/>
        <w:gridCol w:w="815"/>
        <w:gridCol w:w="695"/>
        <w:gridCol w:w="695"/>
        <w:gridCol w:w="994"/>
      </w:tblGrid>
      <w:tr>
        <w:trPr/>
        <w:tc>
          <w:tcPr>
            <w:tcW w:w="9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694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2024 Executive Compensation Peer Group</w:t>
            </w:r>
          </w:p>
        </w:tc>
      </w:tr>
      <w:tr>
        <w:trPr/>
        <w:tc>
          <w:tcPr>
            <w:tcW w:w="2112"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3M</w:t>
            </w:r>
          </w:p>
        </w:tc>
        <w:tc>
          <w:tcPr>
            <w:tcW w:w="2445"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Hershey</w:t>
            </w:r>
          </w:p>
        </w:tc>
        <w:tc>
          <w:tcPr>
            <w:tcW w:w="2384"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Mondelēz International</w:t>
            </w:r>
          </w:p>
        </w:tc>
      </w:tr>
      <w:tr>
        <w:trPr/>
        <w:tc>
          <w:tcPr>
            <w:tcW w:w="211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Campbell Soup</w:t>
            </w:r>
          </w:p>
        </w:tc>
        <w:tc>
          <w:tcPr>
            <w:tcW w:w="244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Honeywell International</w:t>
            </w:r>
          </w:p>
        </w:tc>
        <w:tc>
          <w:tcPr>
            <w:tcW w:w="238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Newell Brands</w:t>
            </w:r>
          </w:p>
        </w:tc>
      </w:tr>
      <w:tr>
        <w:trPr/>
        <w:tc>
          <w:tcPr>
            <w:tcW w:w="211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Clorox</w:t>
            </w:r>
          </w:p>
        </w:tc>
        <w:tc>
          <w:tcPr>
            <w:tcW w:w="244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J.M. Smucker</w:t>
            </w:r>
          </w:p>
        </w:tc>
        <w:tc>
          <w:tcPr>
            <w:tcW w:w="238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Nike</w:t>
            </w:r>
          </w:p>
        </w:tc>
      </w:tr>
      <w:tr>
        <w:trPr/>
        <w:tc>
          <w:tcPr>
            <w:tcW w:w="211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Coca-Cola</w:t>
            </w:r>
          </w:p>
        </w:tc>
        <w:tc>
          <w:tcPr>
            <w:tcW w:w="244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Kellanova</w:t>
            </w:r>
          </w:p>
        </w:tc>
        <w:tc>
          <w:tcPr>
            <w:tcW w:w="238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PepsiCo</w:t>
            </w:r>
          </w:p>
        </w:tc>
      </w:tr>
      <w:tr>
        <w:trPr/>
        <w:tc>
          <w:tcPr>
            <w:tcW w:w="211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Colgate-Palmolive</w:t>
            </w:r>
          </w:p>
        </w:tc>
        <w:tc>
          <w:tcPr>
            <w:tcW w:w="244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Kenvue</w:t>
            </w:r>
          </w:p>
        </w:tc>
        <w:tc>
          <w:tcPr>
            <w:tcW w:w="238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Procter &amp; Gamble</w:t>
            </w:r>
          </w:p>
        </w:tc>
      </w:tr>
      <w:tr>
        <w:trPr/>
        <w:tc>
          <w:tcPr>
            <w:tcW w:w="211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Conagra Brands</w:t>
            </w:r>
          </w:p>
        </w:tc>
        <w:tc>
          <w:tcPr>
            <w:tcW w:w="244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Kraft Heinz</w:t>
            </w:r>
          </w:p>
        </w:tc>
        <w:tc>
          <w:tcPr>
            <w:tcW w:w="238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V.F. Corp.</w:t>
            </w:r>
          </w:p>
        </w:tc>
      </w:tr>
      <w:tr>
        <w:trPr/>
        <w:tc>
          <w:tcPr>
            <w:tcW w:w="2112"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General Mills</w:t>
            </w:r>
          </w:p>
        </w:tc>
        <w:tc>
          <w:tcPr>
            <w:tcW w:w="2445"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In developing the peer group, the Committee does not consider individual company compensation practices, and no company has been included or excluded because it is known to pay above-average or below-average compensation. The Committee (working with the Committee’s retained independent compensation consultant, Semler Brossy, and the company’s retained consultant, Mercer), reviews the peer group annually to ensure that it continues to serve as an appropriate comparison for our compensation program.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In setting compensation for 2024, the Committee made the following adjustments to the peer group used in 2023: (1) Kenvue, a company spun off from Johnson &amp; Johnson, replaced Johnson &amp; Johnson and (2) Kellogg was rebranded as Kellanova following its separation into two companies and remained in the peer group. For purposes of setting executive compensation for 2025, the Committee did not make any changes to the peer group used in 2024. </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Process for Setting Direct Annual Compensation Targets for Our Named Executive Officers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setting the direct annual compensation of our executive officers, the Committee evaluates both market data provided by the compensation consultants and information on the performance of each executive officer for prior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629920"/>
                <wp:effectExtent l="0" t="0" r="0" b="0"/>
                <wp:wrapNone/>
                <wp:docPr id="268" name="Frame6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55</w:t>
                            </w:r>
                          </w:p>
                        </w:tc>
                      </w:tr>
                    </w:tbl>
                    <w:p>
                      <w:pPr>
                        <w:pStyle w:val="TextBody"/>
                        <w:bidi w:val="0"/>
                        <w:spacing w:before="0" w:after="283"/>
                        <w:jc w:val="left"/>
                        <w:rPr/>
                      </w:pPr>
                      <w:r>
                        <w:rPr/>
                      </w:r>
                    </w:p>
                  </w:txbxContent>
                </v:textbox>
                <w10:wrap type="none"/>
              </v:rect>
            </w:pict>
          </mc:Fallback>
        </mc:AlternateContent>
      </w:r>
    </w:p>
    <w:tbl>
      <w:tblPr>
        <w:tblW w:w="3476" w:type="dxa"/>
        <w:jc w:val="left"/>
        <w:tblInd w:w="0" w:type="dxa"/>
        <w:tblLayout w:type="fixed"/>
        <w:tblCellMar>
          <w:top w:w="28" w:type="dxa"/>
          <w:left w:w="28" w:type="dxa"/>
          <w:bottom w:w="28" w:type="dxa"/>
          <w:right w:w="28" w:type="dxa"/>
        </w:tblCellMar>
      </w:tblPr>
      <w:tblGrid>
        <w:gridCol w:w="1059"/>
        <w:gridCol w:w="932"/>
        <w:gridCol w:w="934"/>
        <w:gridCol w:w="161"/>
        <w:gridCol w:w="161"/>
        <w:gridCol w:w="22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4"/>
              </w:rPr>
            </w:pPr>
            <w:r>
              <w:rPr>
                <w:rFonts w:ascii="Lato Bold;sans-serif" w:hAnsi="Lato Bold;sans-serif"/>
                <w:b/>
                <w:color w:val="000000"/>
                <w:sz w:val="14"/>
              </w:rPr>
              <w:t>Compensation discussion and analysis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69"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08" descr=""/>
                          <pic:cNvPicPr>
                            <a:picLocks noChangeAspect="1" noChangeArrowheads="1"/>
                          </pic:cNvPicPr>
                        </pic:nvPicPr>
                        <pic:blipFill>
                          <a:blip r:embed="rId209"/>
                          <a:stretch>
                            <a:fillRect/>
                          </a:stretch>
                        </pic:blipFill>
                        <pic:spPr bwMode="auto">
                          <a:xfrm>
                            <a:off x="0" y="0"/>
                            <a:ext cx="228600" cy="180975"/>
                          </a:xfrm>
                          <a:prstGeom prst="rect">
                            <a:avLst/>
                          </a:prstGeom>
                        </pic:spPr>
                      </pic:pic>
                    </a:graphicData>
                  </a:graphic>
                </wp:inline>
              </w:drawing>
            </w:r>
            <w:r>
              <w:rPr>
                <w:color w:val="000000"/>
              </w:rPr>
              <w:t> </w:t>
            </w:r>
          </w:p>
        </w:tc>
      </w:tr>
      <w:tr>
        <w:trPr/>
        <w:tc>
          <w:tcPr>
            <w:tcW w:w="29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To remain competitive in the marketplace for executive talent, the target levels for the executive officers’ total direct compensation are based on an assessment of pay positioning against comparable positions in our peer group. To reinforce a pay-for-performance culture, targets for individual executive officers may also reflect the individual’s performance in prior years and experience in the position. The Committee believes that setting targets as described above and providing incentive compensation opportunities that will enable executives to earn above-target compensation if they deliver above-target performance on their performance goals are consistent with the objectives of our compensation policies. In particular, the Committee believes that this approach enables us to attract and retain skilled and talented executives to guide and lead our businesses and supports a pay-for-performance culture.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When setting annual compensation for our executive officers, the Committee considers each compensation component (base salary, annual cash incentive, and long-term equity incentive), but its decision regarding a particular component does not necessarily impact its decision about other components.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setting compensation for executive officers that join us from other companies, the Committee evaluates market data for the position to be filled. The Committee recognizes that in order to successfully recruit a candidate to leave his or her current position and to join Kimberly-Clark, the candidate’s compensation package may have to exceed his or her current compensation.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Committee determines the CEO’s direct annual compensation in the same manner as the direct annual compensation of the other named executive officers.</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Direct Annual Compensation Targets for 2024</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Consistent with its focus on direct annual compensation, the Committee approved 2024 direct annual compensation targets for each of our named executive officers. The Committee believes that these target amounts, which formed the basis for the Committee’s compensation decisions for 2024, were appropriate and consistent with our executive compensation objectives:</w:t>
      </w:r>
    </w:p>
    <w:tbl>
      <w:tblPr>
        <w:tblW w:w="6838" w:type="dxa"/>
        <w:jc w:val="left"/>
        <w:tblInd w:w="0" w:type="dxa"/>
        <w:tblLayout w:type="fixed"/>
        <w:tblCellMar>
          <w:top w:w="28" w:type="dxa"/>
          <w:left w:w="28" w:type="dxa"/>
          <w:bottom w:w="28" w:type="dxa"/>
          <w:right w:w="28" w:type="dxa"/>
        </w:tblCellMar>
      </w:tblPr>
      <w:tblGrid>
        <w:gridCol w:w="660"/>
        <w:gridCol w:w="583"/>
        <w:gridCol w:w="586"/>
        <w:gridCol w:w="1466"/>
        <w:gridCol w:w="1466"/>
        <w:gridCol w:w="2077"/>
      </w:tblGrid>
      <w:tr>
        <w:trPr/>
        <w:tc>
          <w:tcPr>
            <w:tcW w:w="6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Name</w:t>
            </w:r>
          </w:p>
        </w:tc>
        <w:tc>
          <w:tcPr>
            <w:tcW w:w="50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2024 Direct Annual Compensation Target($)</w:t>
            </w:r>
          </w:p>
        </w:tc>
      </w:tr>
      <w:tr>
        <w:trPr/>
        <w:tc>
          <w:tcPr>
            <w:tcW w:w="182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Michael D. Hsu</w:t>
            </w:r>
          </w:p>
        </w:tc>
        <w:tc>
          <w:tcPr>
            <w:tcW w:w="2932"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15,125,000 </w:t>
            </w:r>
          </w:p>
        </w:tc>
        <w:tc>
          <w:tcPr>
            <w:tcW w:w="2077"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Nelson Urdaneta</w:t>
            </w:r>
          </w:p>
        </w:tc>
        <w:tc>
          <w:tcPr>
            <w:tcW w:w="293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5,300,000 </w:t>
            </w:r>
          </w:p>
        </w:tc>
        <w:tc>
          <w:tcPr>
            <w:tcW w:w="207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Jeffrey Melucci</w:t>
            </w:r>
          </w:p>
        </w:tc>
        <w:tc>
          <w:tcPr>
            <w:tcW w:w="293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5,040,000 </w:t>
            </w:r>
          </w:p>
        </w:tc>
        <w:tc>
          <w:tcPr>
            <w:tcW w:w="207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Zackery Hicks</w:t>
            </w:r>
          </w:p>
        </w:tc>
        <w:tc>
          <w:tcPr>
            <w:tcW w:w="293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5,040,000 </w:t>
            </w:r>
          </w:p>
        </w:tc>
        <w:tc>
          <w:tcPr>
            <w:tcW w:w="207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Russell Torres</w:t>
            </w:r>
          </w:p>
        </w:tc>
        <w:tc>
          <w:tcPr>
            <w:tcW w:w="2932"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5,100,000 </w:t>
            </w:r>
          </w:p>
        </w:tc>
        <w:tc>
          <w:tcPr>
            <w:tcW w:w="2077"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These 2024 direct annual compensation target amounts differ from the amounts set forth in the Summary Compensation Table in primarily the following ways: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Base salaries are adjusted on April 1 of each year, while the Summary Compensation Table includes salaries for the calendar year. See “Executive Compensation for 2024 – Base Salary.”</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Annual cash incentive compensation is included at the target level, while the Summary Compensation Table reflects the actual amount earned for 2024.</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In setting direct annual compensation targets, the Committee does not include increases in deferred compensation earnings or other compensation, while those amounts are required to be included in the Summary Compensation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629920"/>
                <wp:effectExtent l="0" t="0" r="0" b="0"/>
                <wp:wrapNone/>
                <wp:docPr id="270" name="Frame6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56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56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475" w:type="dxa"/>
        <w:jc w:val="left"/>
        <w:tblInd w:w="0" w:type="dxa"/>
        <w:tblLayout w:type="fixed"/>
        <w:tblCellMar>
          <w:top w:w="28" w:type="dxa"/>
          <w:left w:w="28" w:type="dxa"/>
          <w:bottom w:w="28" w:type="dxa"/>
          <w:right w:w="28" w:type="dxa"/>
        </w:tblCellMar>
      </w:tblPr>
      <w:tblGrid>
        <w:gridCol w:w="188"/>
        <w:gridCol w:w="166"/>
        <w:gridCol w:w="167"/>
        <w:gridCol w:w="863"/>
        <w:gridCol w:w="863"/>
        <w:gridCol w:w="122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71"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09" descr=""/>
                          <pic:cNvPicPr>
                            <a:picLocks noChangeAspect="1" noChangeArrowheads="1"/>
                          </pic:cNvPicPr>
                        </pic:nvPicPr>
                        <pic:blipFill>
                          <a:blip r:embed="rId210"/>
                          <a:stretch>
                            <a:fillRect/>
                          </a:stretch>
                        </pic:blipFill>
                        <pic:spPr bwMode="auto">
                          <a:xfrm>
                            <a:off x="0" y="0"/>
                            <a:ext cx="228600" cy="180975"/>
                          </a:xfrm>
                          <a:prstGeom prst="rect">
                            <a:avLst/>
                          </a:prstGeom>
                        </pic:spPr>
                      </pic:pic>
                    </a:graphicData>
                  </a:graphic>
                </wp:inline>
              </w:drawing>
            </w: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discussion and analysis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Executive Compensation for 2024</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To help achieve the objectives discussed above, our executive compensation program for 2024 consists of fixed and performance-based components, as well as short-term and long-term components.</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Base Salary</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To attract and retain high caliber executives, we pay our executives an annual fixed salary that the Committee considers competitive in the marketplace.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Salary ranges and individual salaries for executive officers are reviewed annually, and salary adjustments generally are effective on April 1 of each year. In determining individual salaries, the Committee considers the salary levels for similar positions at our peer group companies, as well as the executive’s performance, leadership, and experience in his or her position. This performance evaluation is based on how the executive performs during the year against results-based objectives established at the beginning of the year and considers their demonstration of executive leadership characteristics. From time to time, if warranted, executives and other employees may receive additional salary increases because of promotions, changes in duties and responsibilities, retention concerns, or market conditions.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2024, the Committee approved the following base salaries for our named executive officers:</w:t>
      </w:r>
    </w:p>
    <w:tbl>
      <w:tblPr>
        <w:tblW w:w="4198" w:type="dxa"/>
        <w:jc w:val="left"/>
        <w:tblInd w:w="0" w:type="dxa"/>
        <w:tblLayout w:type="fixed"/>
        <w:tblCellMar>
          <w:top w:w="28" w:type="dxa"/>
          <w:left w:w="28" w:type="dxa"/>
          <w:bottom w:w="28" w:type="dxa"/>
          <w:right w:w="28" w:type="dxa"/>
        </w:tblCellMar>
      </w:tblPr>
      <w:tblGrid>
        <w:gridCol w:w="660"/>
        <w:gridCol w:w="583"/>
        <w:gridCol w:w="586"/>
        <w:gridCol w:w="693"/>
        <w:gridCol w:w="693"/>
        <w:gridCol w:w="983"/>
      </w:tblGrid>
      <w:tr>
        <w:trPr/>
        <w:tc>
          <w:tcPr>
            <w:tcW w:w="6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Name</w:t>
            </w:r>
          </w:p>
        </w:tc>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2024 Base Salary($)</w:t>
            </w:r>
          </w:p>
        </w:tc>
      </w:tr>
      <w:tr>
        <w:trPr/>
        <w:tc>
          <w:tcPr>
            <w:tcW w:w="182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Michael D. Hsu</w:t>
            </w:r>
          </w:p>
        </w:tc>
        <w:tc>
          <w:tcPr>
            <w:tcW w:w="138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1,500,000 </w:t>
            </w:r>
          </w:p>
        </w:tc>
        <w:tc>
          <w:tcPr>
            <w:tcW w:w="983"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Nelson Urdaneta</w:t>
            </w:r>
          </w:p>
        </w:tc>
        <w:tc>
          <w:tcPr>
            <w:tcW w:w="13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900,000 </w:t>
            </w:r>
          </w:p>
        </w:tc>
        <w:tc>
          <w:tcPr>
            <w:tcW w:w="98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Jeffrey Melucci</w:t>
            </w:r>
          </w:p>
        </w:tc>
        <w:tc>
          <w:tcPr>
            <w:tcW w:w="13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900,000 </w:t>
            </w:r>
          </w:p>
        </w:tc>
        <w:tc>
          <w:tcPr>
            <w:tcW w:w="98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Zackery Hicks</w:t>
            </w:r>
          </w:p>
        </w:tc>
        <w:tc>
          <w:tcPr>
            <w:tcW w:w="138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1,020,000 </w:t>
            </w:r>
          </w:p>
        </w:tc>
        <w:tc>
          <w:tcPr>
            <w:tcW w:w="98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Russell Torres</w:t>
            </w:r>
          </w:p>
        </w:tc>
        <w:tc>
          <w:tcPr>
            <w:tcW w:w="138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900,000 </w:t>
            </w:r>
          </w:p>
        </w:tc>
        <w:tc>
          <w:tcPr>
            <w:tcW w:w="983"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increases for Mr. Hsu and Mr. Hicks of 1.0 and 2.0 percent, respectively, are consistent with the annual merit increases provided to all employees. The Committee approved increases for Mr. Torres and Mr. Urdaneta of 4.0 and 5.9 percent, respectively, to align their pay more competitively with the market. The Committee determined Mr. Melucci’s base salary and annual cash incentive target (see below) upon his promotion to Chief Business and Transformation Officer effective January 30, 2024.</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Annual Cash Incentive Program</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Consistent with our pay-for-performance compensation objective, our executive compensation program includes an annual cash incentive program to motivate and reward executives in achieving annual performance objectives.</w:t>
      </w:r>
    </w:p>
    <w:p>
      <w:pPr>
        <w:pStyle w:val="TextBody"/>
        <w:bidi w:val="0"/>
        <w:spacing w:lineRule="auto" w:line="288" w:before="300" w:after="120"/>
        <w:jc w:val="left"/>
        <w:rPr>
          <w:rFonts w:ascii="Lato;sans-serif" w:hAnsi="Lato;sans-serif"/>
          <w:b w:val="false"/>
          <w:color w:val="000000"/>
          <w:sz w:val="30"/>
        </w:rPr>
      </w:pPr>
      <w:r>
        <w:rPr>
          <w:rFonts w:ascii="Lato;sans-serif" w:hAnsi="Lato;sans-serif"/>
          <w:b w:val="false"/>
          <w:color w:val="000000"/>
          <w:sz w:val="30"/>
        </w:rPr>
        <w:t>2024 Targets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target payment amount for annual cash incentives is a percentage of the executive’s base salary. The Committee determines this target payment amount as described above under “Setting Annual Compensation – Process for Setting Direct Annual Compensation Targets for Our Named Executive Officers.” The range of possible payouts is expressed as a percentage of the target payment amount. The Committee sets this range based on competitive factors and to motivate and reward performance against the company’s goals without encouraging imprudent risk-taking behavior.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629920"/>
                <wp:effectExtent l="0" t="0" r="0" b="0"/>
                <wp:wrapNone/>
                <wp:docPr id="272" name="Frame6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57</w:t>
                            </w:r>
                          </w:p>
                        </w:tc>
                      </w:tr>
                    </w:tbl>
                    <w:p>
                      <w:pPr>
                        <w:pStyle w:val="TextBody"/>
                        <w:bidi w:val="0"/>
                        <w:spacing w:before="0" w:after="283"/>
                        <w:jc w:val="left"/>
                        <w:rPr/>
                      </w:pPr>
                      <w:r>
                        <w:rPr/>
                      </w:r>
                    </w:p>
                  </w:txbxContent>
                </v:textbox>
                <w10:wrap type="none"/>
              </v:rect>
            </w:pict>
          </mc:Fallback>
        </mc:AlternateContent>
      </w:r>
    </w:p>
    <w:tbl>
      <w:tblPr>
        <w:tblW w:w="3476" w:type="dxa"/>
        <w:jc w:val="left"/>
        <w:tblInd w:w="0" w:type="dxa"/>
        <w:tblLayout w:type="fixed"/>
        <w:tblCellMar>
          <w:top w:w="28" w:type="dxa"/>
          <w:left w:w="28" w:type="dxa"/>
          <w:bottom w:w="28" w:type="dxa"/>
          <w:right w:w="28" w:type="dxa"/>
        </w:tblCellMar>
      </w:tblPr>
      <w:tblGrid>
        <w:gridCol w:w="1059"/>
        <w:gridCol w:w="932"/>
        <w:gridCol w:w="934"/>
        <w:gridCol w:w="161"/>
        <w:gridCol w:w="161"/>
        <w:gridCol w:w="22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4"/>
              </w:rPr>
            </w:pPr>
            <w:r>
              <w:rPr>
                <w:rFonts w:ascii="Lato Bold;sans-serif" w:hAnsi="Lato Bold;sans-serif"/>
                <w:b/>
                <w:color w:val="000000"/>
                <w:sz w:val="14"/>
              </w:rPr>
              <w:t>Compensation discussion and analysis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7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10" descr=""/>
                          <pic:cNvPicPr>
                            <a:picLocks noChangeAspect="1" noChangeArrowheads="1"/>
                          </pic:cNvPicPr>
                        </pic:nvPicPr>
                        <pic:blipFill>
                          <a:blip r:embed="rId211"/>
                          <a:stretch>
                            <a:fillRect/>
                          </a:stretch>
                        </pic:blipFill>
                        <pic:spPr bwMode="auto">
                          <a:xfrm>
                            <a:off x="0" y="0"/>
                            <a:ext cx="228600" cy="180975"/>
                          </a:xfrm>
                          <a:prstGeom prst="rect">
                            <a:avLst/>
                          </a:prstGeom>
                        </pic:spPr>
                      </pic:pic>
                    </a:graphicData>
                  </a:graphic>
                </wp:inline>
              </w:drawing>
            </w:r>
            <w:r>
              <w:rPr>
                <w:color w:val="000000"/>
              </w:rPr>
              <w:t> </w:t>
            </w:r>
          </w:p>
        </w:tc>
      </w:tr>
      <w:tr>
        <w:trPr/>
        <w:tc>
          <w:tcPr>
            <w:tcW w:w="29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Lato Bold;sans-serif" w:hAnsi="Lato Bold;sans-serif"/>
          <w:b/>
          <w:color w:val="000000"/>
          <w:sz w:val="22"/>
        </w:rPr>
      </w:pPr>
      <w:r>
        <w:rPr>
          <w:rFonts w:ascii="Lato Bold;sans-serif" w:hAnsi="Lato Bold;sans-serif"/>
          <w:b/>
          <w:color w:val="000000"/>
          <w:sz w:val="22"/>
        </w:rPr>
        <w:t>Target Payment Amounts for 2024 Annual Cash Incentive Program</w:t>
      </w:r>
    </w:p>
    <w:tbl>
      <w:tblPr>
        <w:tblW w:w="5834" w:type="dxa"/>
        <w:jc w:val="left"/>
        <w:tblInd w:w="0" w:type="dxa"/>
        <w:tblLayout w:type="fixed"/>
        <w:tblCellMar>
          <w:top w:w="28" w:type="dxa"/>
          <w:left w:w="28" w:type="dxa"/>
          <w:bottom w:w="28" w:type="dxa"/>
          <w:right w:w="28" w:type="dxa"/>
        </w:tblCellMar>
      </w:tblPr>
      <w:tblGrid>
        <w:gridCol w:w="660"/>
        <w:gridCol w:w="583"/>
        <w:gridCol w:w="586"/>
        <w:gridCol w:w="816"/>
        <w:gridCol w:w="816"/>
        <w:gridCol w:w="2373"/>
      </w:tblGrid>
      <w:tr>
        <w:trPr/>
        <w:tc>
          <w:tcPr>
            <w:tcW w:w="6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Name</w:t>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Target as a Percent of Base Salary</w:t>
            </w:r>
          </w:p>
        </w:tc>
      </w:tr>
      <w:tr>
        <w:trPr/>
        <w:tc>
          <w:tcPr>
            <w:tcW w:w="182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Michael D. Hsu</w:t>
            </w:r>
          </w:p>
        </w:tc>
        <w:tc>
          <w:tcPr>
            <w:tcW w:w="1632"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175 </w:t>
            </w:r>
          </w:p>
        </w:tc>
        <w:tc>
          <w:tcPr>
            <w:tcW w:w="2373"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Nelson Urdaneta</w:t>
            </w:r>
          </w:p>
        </w:tc>
        <w:tc>
          <w:tcPr>
            <w:tcW w:w="163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100 </w:t>
            </w:r>
          </w:p>
        </w:tc>
        <w:tc>
          <w:tcPr>
            <w:tcW w:w="2373" w:type="dxa"/>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Jeffrey Melucci</w:t>
            </w:r>
          </w:p>
        </w:tc>
        <w:tc>
          <w:tcPr>
            <w:tcW w:w="163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110 </w:t>
            </w:r>
          </w:p>
        </w:tc>
        <w:tc>
          <w:tcPr>
            <w:tcW w:w="2373" w:type="dxa"/>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Zackery Hicks</w:t>
            </w:r>
          </w:p>
        </w:tc>
        <w:tc>
          <w:tcPr>
            <w:tcW w:w="163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100 </w:t>
            </w:r>
          </w:p>
        </w:tc>
        <w:tc>
          <w:tcPr>
            <w:tcW w:w="2373" w:type="dxa"/>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r>
      <w:tr>
        <w:trPr/>
        <w:tc>
          <w:tcPr>
            <w:tcW w:w="182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Russell Torres</w:t>
            </w:r>
          </w:p>
        </w:tc>
        <w:tc>
          <w:tcPr>
            <w:tcW w:w="1632"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100 </w:t>
            </w:r>
          </w:p>
        </w:tc>
        <w:tc>
          <w:tcPr>
            <w:tcW w:w="2373"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Committee increased Mr. Melucci’s target by 25 percent upon his promotion to Chief Business and Transformation Officer effective January 30, 2024.</w:t>
      </w:r>
    </w:p>
    <w:p>
      <w:pPr>
        <w:pStyle w:val="TextBody"/>
        <w:bidi w:val="0"/>
        <w:spacing w:lineRule="auto" w:line="288" w:before="340" w:after="120"/>
        <w:jc w:val="left"/>
        <w:rPr>
          <w:rFonts w:ascii="Lato;sans-serif" w:hAnsi="Lato;sans-serif"/>
          <w:b w:val="false"/>
          <w:color w:val="0046C8"/>
          <w:sz w:val="34"/>
        </w:rPr>
      </w:pPr>
      <w:bookmarkStart w:id="1" w:name="i8655c25cdf134350a0cd502500e52ffc_14136"/>
      <w:bookmarkEnd w:id="1"/>
      <w:r>
        <w:rPr>
          <w:rFonts w:ascii="Lato;sans-serif" w:hAnsi="Lato;sans-serif"/>
          <w:b w:val="false"/>
          <w:color w:val="0046C8"/>
          <w:sz w:val="34"/>
        </w:rPr>
        <w:t>2024 Performance Goals, Performance Assessments and Payouts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Payment amounts under the annual cash incentive program are dependent on performance measured against corporate goals and operational business unit (as applicable) goals established by the Committee at the beginning of each year. These performance goals, which are communicated to our executives at the beginning of each year, are derived from our financial and strategic goals.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As shown in the table below, for 2024 the Committee established goals for two different performance elements for the Named Executive Officers other than Mr. Torres, who leads an operational business unit and has a third element for business unit goals. It then weighted the elements for each executive.</w:t>
      </w:r>
    </w:p>
    <w:p>
      <w:pPr>
        <w:pStyle w:val="TextBody"/>
        <w:bidi w:val="0"/>
        <w:spacing w:lineRule="auto" w:line="288" w:before="0" w:after="0"/>
        <w:jc w:val="left"/>
        <w:rPr>
          <w:rFonts w:ascii="Lato Bold;sans-serif" w:hAnsi="Lato Bold;sans-serif"/>
          <w:b/>
          <w:color w:val="000000"/>
          <w:sz w:val="22"/>
        </w:rPr>
      </w:pPr>
      <w:r>
        <w:rPr>
          <w:rFonts w:ascii="Lato Bold;sans-serif" w:hAnsi="Lato Bold;sans-serif"/>
          <w:b/>
          <w:color w:val="000000"/>
          <w:sz w:val="22"/>
        </w:rPr>
        <w:t>Annual Cash Incentive Program 2024 Performance Goals and Weights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419"/>
        <w:gridCol w:w="419"/>
        <w:gridCol w:w="421"/>
        <w:gridCol w:w="375"/>
        <w:gridCol w:w="375"/>
        <w:gridCol w:w="376"/>
        <w:gridCol w:w="555"/>
        <w:gridCol w:w="503"/>
        <w:gridCol w:w="504"/>
        <w:gridCol w:w="327"/>
        <w:gridCol w:w="327"/>
        <w:gridCol w:w="329"/>
        <w:gridCol w:w="458"/>
        <w:gridCol w:w="458"/>
        <w:gridCol w:w="459"/>
        <w:gridCol w:w="109"/>
        <w:gridCol w:w="109"/>
        <w:gridCol w:w="109"/>
        <w:gridCol w:w="109"/>
        <w:gridCol w:w="109"/>
        <w:gridCol w:w="109"/>
        <w:gridCol w:w="342"/>
        <w:gridCol w:w="342"/>
        <w:gridCol w:w="343"/>
        <w:gridCol w:w="733"/>
        <w:gridCol w:w="470"/>
        <w:gridCol w:w="6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color w:val="000000"/>
                <w:sz w:val="19"/>
              </w:rPr>
            </w:pPr>
            <w:r>
              <w:rPr>
                <w:rFonts w:ascii="Lato Bold;sans-serif" w:hAnsi="Lato Bold;sans-serif"/>
                <w:b/>
                <w:color w:val="000000"/>
                <w:sz w:val="19"/>
              </w:rPr>
              <w:t>Michael D.</w:t>
              <w:br/>
              <w:t>Hsu</w:t>
              <w:br/>
              <w:t>(CEO)</w:t>
            </w:r>
          </w:p>
        </w:tc>
        <w:tc>
          <w:tcPr>
            <w:tcW w:w="112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color w:val="000000"/>
                <w:sz w:val="19"/>
              </w:rPr>
            </w:pPr>
            <w:r>
              <w:rPr>
                <w:rFonts w:ascii="Lato Bold;sans-serif" w:hAnsi="Lato Bold;sans-serif"/>
                <w:b/>
                <w:color w:val="000000"/>
                <w:sz w:val="19"/>
              </w:rPr>
              <w:t xml:space="preserve">Nelson </w:t>
              <w:br/>
              <w:t>Urdaneta</w:t>
              <w:br/>
              <w:t>(CFO)</w:t>
            </w:r>
          </w:p>
        </w:tc>
        <w:tc>
          <w:tcPr>
            <w:tcW w:w="156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color w:val="000000"/>
                <w:sz w:val="19"/>
              </w:rPr>
            </w:pPr>
            <w:r>
              <w:rPr>
                <w:rFonts w:ascii="Lato Bold;sans-serif" w:hAnsi="Lato Bold;sans-serif"/>
                <w:b/>
                <w:color w:val="000000"/>
                <w:sz w:val="19"/>
              </w:rPr>
              <w:t xml:space="preserve">Jeffrey </w:t>
              <w:br/>
              <w:t>Melucci</w:t>
              <w:br/>
              <w:t>(Business, Strategy &amp; Transf.)</w:t>
            </w:r>
          </w:p>
        </w:tc>
        <w:tc>
          <w:tcPr>
            <w:tcW w:w="98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color w:val="000000"/>
                <w:sz w:val="19"/>
              </w:rPr>
            </w:pPr>
            <w:r>
              <w:rPr>
                <w:rFonts w:ascii="Lato Bold;sans-serif" w:hAnsi="Lato Bold;sans-serif"/>
                <w:b/>
                <w:color w:val="000000"/>
                <w:sz w:val="19"/>
              </w:rPr>
              <w:t xml:space="preserve">Zackery </w:t>
              <w:br/>
              <w:t>Hicks</w:t>
              <w:br/>
              <w:t xml:space="preserve">(Chief </w:t>
              <w:br/>
              <w:t xml:space="preserve">Digital </w:t>
              <w:br/>
              <w:t>Officer)</w:t>
            </w:r>
          </w:p>
        </w:tc>
        <w:tc>
          <w:tcPr>
            <w:tcW w:w="137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Lato Bold;sans-serif" w:hAnsi="Lato Bold;sans-serif"/>
                <w:b/>
                <w:color w:val="000000"/>
                <w:sz w:val="19"/>
              </w:rPr>
            </w:pPr>
            <w:r>
              <w:rPr>
                <w:rFonts w:ascii="Lato Bold;sans-serif" w:hAnsi="Lato Bold;sans-serif"/>
                <w:b/>
                <w:color w:val="000000"/>
                <w:sz w:val="19"/>
              </w:rPr>
              <w:t>Russell Torres</w:t>
              <w:br/>
              <w:t xml:space="preserve">(President, </w:t>
              <w:b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21"/>
            <w:vMerge w:val="restart"/>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4162425" cy="1809750"/>
                  <wp:effectExtent l="0" t="0" r="0" b="0"/>
                  <wp:docPr id="27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11" descr=""/>
                          <pic:cNvPicPr>
                            <a:picLocks noChangeAspect="1" noChangeArrowheads="1"/>
                          </pic:cNvPicPr>
                        </pic:nvPicPr>
                        <pic:blipFill>
                          <a:blip r:embed="rId212"/>
                          <a:stretch>
                            <a:fillRect/>
                          </a:stretch>
                        </pic:blipFill>
                        <pic:spPr bwMode="auto">
                          <a:xfrm>
                            <a:off x="0" y="0"/>
                            <a:ext cx="4162425" cy="18097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120" w:after="120"/>
              <w:jc w:val="center"/>
              <w:rPr/>
            </w:pPr>
            <w:r>
              <w:rPr/>
              <w:drawing>
                <wp:inline distT="0" distB="0" distL="0" distR="0">
                  <wp:extent cx="114300" cy="114300"/>
                  <wp:effectExtent l="0" t="0" r="0" b="0"/>
                  <wp:docPr id="27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12" descr=""/>
                          <pic:cNvPicPr>
                            <a:picLocks noChangeAspect="1" noChangeArrowheads="1"/>
                          </pic:cNvPicPr>
                        </pic:nvPicPr>
                        <pic:blipFill>
                          <a:blip r:embed="rId213"/>
                          <a:stretch>
                            <a:fillRect/>
                          </a:stretch>
                        </pic:blipFill>
                        <pic:spPr bwMode="auto">
                          <a:xfrm>
                            <a:off x="0" y="0"/>
                            <a:ext cx="114300" cy="114300"/>
                          </a:xfrm>
                          <a:prstGeom prst="rect">
                            <a:avLst/>
                          </a:prstGeom>
                        </pic:spPr>
                      </pic:pic>
                    </a:graphicData>
                  </a:graphic>
                </wp:inline>
              </w:drawing>
            </w:r>
          </w:p>
        </w:tc>
        <w:tc>
          <w:tcPr>
            <w:tcW w:w="102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ELEMENT 1</w:t>
            </w:r>
          </w:p>
        </w:tc>
        <w:tc>
          <w:tcPr>
            <w:tcW w:w="1877"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Corporate key financial goals</w:t>
            </w:r>
          </w:p>
        </w:tc>
      </w:tr>
      <w:tr>
        <w:trPr/>
        <w:tc>
          <w:tcPr>
            <w:tcW w:w="6974" w:type="dxa"/>
            <w:gridSpan w:val="21"/>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120" w:after="120"/>
              <w:jc w:val="left"/>
              <w:rPr/>
            </w:pPr>
            <w:r>
              <w:rPr/>
              <w:drawing>
                <wp:inline distT="0" distB="0" distL="0" distR="0">
                  <wp:extent cx="114300" cy="114300"/>
                  <wp:effectExtent l="0" t="0" r="0" b="0"/>
                  <wp:docPr id="27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13" descr=""/>
                          <pic:cNvPicPr>
                            <a:picLocks noChangeAspect="1" noChangeArrowheads="1"/>
                          </pic:cNvPicPr>
                        </pic:nvPicPr>
                        <pic:blipFill>
                          <a:blip r:embed="rId214"/>
                          <a:stretch>
                            <a:fillRect/>
                          </a:stretch>
                        </pic:blipFill>
                        <pic:spPr bwMode="auto">
                          <a:xfrm>
                            <a:off x="0" y="0"/>
                            <a:ext cx="114300" cy="114300"/>
                          </a:xfrm>
                          <a:prstGeom prst="rect">
                            <a:avLst/>
                          </a:prstGeom>
                        </pic:spPr>
                      </pic:pic>
                    </a:graphicData>
                  </a:graphic>
                </wp:inline>
              </w:drawing>
            </w:r>
          </w:p>
        </w:tc>
        <w:tc>
          <w:tcPr>
            <w:tcW w:w="10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ELEMENT 2</w:t>
            </w:r>
          </w:p>
        </w:tc>
        <w:tc>
          <w:tcPr>
            <w:tcW w:w="18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 xml:space="preserve">Additional </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corporate non-financial strategic performance goals</w:t>
            </w:r>
          </w:p>
        </w:tc>
      </w:tr>
      <w:tr>
        <w:trPr/>
        <w:tc>
          <w:tcPr>
            <w:tcW w:w="6974" w:type="dxa"/>
            <w:gridSpan w:val="21"/>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120" w:after="120"/>
              <w:jc w:val="left"/>
              <w:rPr/>
            </w:pPr>
            <w:r>
              <w:rPr/>
              <w:drawing>
                <wp:inline distT="0" distB="0" distL="0" distR="0">
                  <wp:extent cx="114300" cy="114300"/>
                  <wp:effectExtent l="0" t="0" r="0" b="0"/>
                  <wp:docPr id="27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14" descr=""/>
                          <pic:cNvPicPr>
                            <a:picLocks noChangeAspect="1" noChangeArrowheads="1"/>
                          </pic:cNvPicPr>
                        </pic:nvPicPr>
                        <pic:blipFill>
                          <a:blip r:embed="rId215"/>
                          <a:stretch>
                            <a:fillRect/>
                          </a:stretch>
                        </pic:blipFill>
                        <pic:spPr bwMode="auto">
                          <a:xfrm>
                            <a:off x="0" y="0"/>
                            <a:ext cx="114300" cy="114300"/>
                          </a:xfrm>
                          <a:prstGeom prst="rect">
                            <a:avLst/>
                          </a:prstGeom>
                        </pic:spPr>
                      </pic:pic>
                    </a:graphicData>
                  </a:graphic>
                </wp:inline>
              </w:drawing>
            </w:r>
          </w:p>
        </w:tc>
        <w:tc>
          <w:tcPr>
            <w:tcW w:w="10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ELEMENT 3</w:t>
            </w:r>
          </w:p>
        </w:tc>
        <w:tc>
          <w:tcPr>
            <w:tcW w:w="18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Business unit performance goals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629920"/>
                <wp:effectExtent l="0" t="0" r="0" b="0"/>
                <wp:wrapNone/>
                <wp:docPr id="278" name="Frame6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58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58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475" w:type="dxa"/>
        <w:jc w:val="left"/>
        <w:tblInd w:w="0" w:type="dxa"/>
        <w:tblLayout w:type="fixed"/>
        <w:tblCellMar>
          <w:top w:w="28" w:type="dxa"/>
          <w:left w:w="28" w:type="dxa"/>
          <w:bottom w:w="28" w:type="dxa"/>
          <w:right w:w="28" w:type="dxa"/>
        </w:tblCellMar>
      </w:tblPr>
      <w:tblGrid>
        <w:gridCol w:w="188"/>
        <w:gridCol w:w="166"/>
        <w:gridCol w:w="167"/>
        <w:gridCol w:w="863"/>
        <w:gridCol w:w="863"/>
        <w:gridCol w:w="122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79"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15" descr=""/>
                          <pic:cNvPicPr>
                            <a:picLocks noChangeAspect="1" noChangeArrowheads="1"/>
                          </pic:cNvPicPr>
                        </pic:nvPicPr>
                        <pic:blipFill>
                          <a:blip r:embed="rId216"/>
                          <a:stretch>
                            <a:fillRect/>
                          </a:stretch>
                        </pic:blipFill>
                        <pic:spPr bwMode="auto">
                          <a:xfrm>
                            <a:off x="0" y="0"/>
                            <a:ext cx="228600" cy="180975"/>
                          </a:xfrm>
                          <a:prstGeom prst="rect">
                            <a:avLst/>
                          </a:prstGeom>
                        </pic:spPr>
                      </pic:pic>
                    </a:graphicData>
                  </a:graphic>
                </wp:inline>
              </w:drawing>
            </w: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discussion and analysis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Below we describe the three elements of performance, explain how performance was assessed for each element, and show the payouts that were determined in each case.</w:t>
      </w:r>
    </w:p>
    <w:p>
      <w:pPr>
        <w:pStyle w:val="TextBody"/>
        <w:bidi w:val="0"/>
        <w:spacing w:lineRule="auto" w:line="288" w:before="0" w:after="0"/>
        <w:jc w:val="left"/>
        <w:rPr>
          <w:rFonts w:ascii="Lato Bold;sans-serif" w:hAnsi="Lato Bold;sans-serif"/>
          <w:b/>
          <w:color w:val="000000"/>
          <w:sz w:val="22"/>
        </w:rPr>
      </w:pPr>
      <w:r>
        <w:rPr>
          <w:rFonts w:ascii="Lato Bold;sans-serif" w:hAnsi="Lato Bold;sans-serif"/>
          <w:b/>
          <w:color w:val="000000"/>
          <w:sz w:val="22"/>
        </w:rPr>
        <w:t>Element 1: Corporate key financial goals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For 2024, the Committee chose the following as the corporate key financial goals for the annual cash incentive program, which are weighted equally:</w:t>
      </w:r>
    </w:p>
    <w:tbl>
      <w:tblPr>
        <w:tblW w:w="10205" w:type="dxa"/>
        <w:jc w:val="left"/>
        <w:tblInd w:w="0" w:type="dxa"/>
        <w:tblLayout w:type="fixed"/>
        <w:tblCellMar>
          <w:top w:w="28" w:type="dxa"/>
          <w:left w:w="28" w:type="dxa"/>
          <w:bottom w:w="28" w:type="dxa"/>
          <w:right w:w="28" w:type="dxa"/>
        </w:tblCellMar>
      </w:tblPr>
      <w:tblGrid>
        <w:gridCol w:w="589"/>
        <w:gridCol w:w="292"/>
        <w:gridCol w:w="291"/>
        <w:gridCol w:w="1744"/>
        <w:gridCol w:w="1656"/>
        <w:gridCol w:w="1660"/>
        <w:gridCol w:w="1162"/>
        <w:gridCol w:w="1162"/>
        <w:gridCol w:w="1649"/>
      </w:tblGrid>
      <w:tr>
        <w:trPr/>
        <w:tc>
          <w:tcPr>
            <w:tcW w:w="5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2024 Goal</w:t>
            </w:r>
          </w:p>
        </w:tc>
        <w:tc>
          <w:tcPr>
            <w:tcW w:w="5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Explanation</w:t>
            </w:r>
          </w:p>
        </w:tc>
        <w:tc>
          <w:tcPr>
            <w:tcW w:w="39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Reason for Use as a Performance Measure</w:t>
            </w:r>
          </w:p>
        </w:tc>
      </w:tr>
      <w:tr>
        <w:trPr/>
        <w:tc>
          <w:tcPr>
            <w:tcW w:w="1172"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Organic sales growth</w:t>
            </w:r>
          </w:p>
        </w:tc>
        <w:tc>
          <w:tcPr>
            <w:tcW w:w="5060"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0"/>
              <w:jc w:val="left"/>
              <w:rPr/>
            </w:pPr>
            <w:r>
              <w:rPr>
                <w:rFonts w:ascii="Lato;sans-serif" w:hAnsi="Lato;sans-serif"/>
                <w:b w:val="false"/>
                <w:color w:val="000000"/>
                <w:sz w:val="19"/>
              </w:rPr>
              <w:t>A non-GAAP financial measure consisting of sales growth generated from within the company and excluding the impact of currency changes, business exits, and acquisition/divestiture activity</w:t>
            </w:r>
            <w:r>
              <w:rPr>
                <w:rFonts w:ascii="Lato;sans-serif" w:hAnsi="Lato;sans-serif"/>
                <w:b w:val="false"/>
                <w:color w:val="000000"/>
                <w:sz w:val="12"/>
              </w:rPr>
              <w:t>(1)</w:t>
            </w:r>
          </w:p>
        </w:tc>
        <w:tc>
          <w:tcPr>
            <w:tcW w:w="3973"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80"/>
              <w:ind w:left="0" w:right="0" w:hanging="216"/>
              <w:jc w:val="left"/>
              <w:rPr/>
            </w:pPr>
            <w:r>
              <w:rPr>
                <w:color w:val="0046C8"/>
              </w:rPr>
              <w:t>•</w:t>
            </w:r>
            <w:r>
              <w:rPr>
                <w:rFonts w:ascii="Lato;sans-serif" w:hAnsi="Lato;sans-serif"/>
                <w:b w:val="false"/>
                <w:color w:val="000000"/>
                <w:sz w:val="19"/>
              </w:rPr>
              <w:t>A key indicator of our overall growth</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Encompasses streams of revenues that are a direct result of existing operations</w:t>
            </w:r>
          </w:p>
          <w:p>
            <w:pPr>
              <w:pStyle w:val="TableContents"/>
              <w:bidi w:val="0"/>
              <w:spacing w:lineRule="auto" w:line="312" w:before="80" w:after="283"/>
              <w:ind w:left="0" w:right="0" w:hanging="216"/>
              <w:jc w:val="left"/>
              <w:rPr/>
            </w:pPr>
            <w:r>
              <w:rPr>
                <w:color w:val="0046C8"/>
              </w:rPr>
              <w:t>•</w:t>
            </w:r>
            <w:r>
              <w:rPr>
                <w:rFonts w:ascii="Lato;sans-serif" w:hAnsi="Lato;sans-serif"/>
                <w:b w:val="false"/>
                <w:color w:val="000000"/>
                <w:sz w:val="19"/>
              </w:rPr>
              <w:t xml:space="preserve">Excludes the impact of currency changes, which are difficult to predict, and outside of management’s control </w:t>
            </w:r>
          </w:p>
        </w:tc>
      </w:tr>
      <w:tr>
        <w:trPr/>
        <w:tc>
          <w:tcPr>
            <w:tcW w:w="1172"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Adjusted EPS</w:t>
            </w:r>
          </w:p>
        </w:tc>
        <w:tc>
          <w:tcPr>
            <w:tcW w:w="5060"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0"/>
              <w:jc w:val="left"/>
              <w:rPr/>
            </w:pPr>
            <w:r>
              <w:rPr>
                <w:rFonts w:ascii="Lato;sans-serif" w:hAnsi="Lato;sans-serif"/>
                <w:b w:val="false"/>
                <w:color w:val="000000"/>
                <w:sz w:val="19"/>
              </w:rPr>
              <w:t>A non-GAAP financial measure that consists of diluted net income per share that is then adjusted to eliminate the effect of items or events that the Committee determines in its discretion should be excluded for compensation purposes</w:t>
            </w:r>
            <w:r>
              <w:rPr>
                <w:rFonts w:ascii="Lato;sans-serif" w:hAnsi="Lato;sans-serif"/>
                <w:b w:val="false"/>
                <w:color w:val="000000"/>
                <w:sz w:val="12"/>
              </w:rPr>
              <w:t>(2)</w:t>
            </w:r>
          </w:p>
        </w:tc>
        <w:tc>
          <w:tcPr>
            <w:tcW w:w="3973"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A key indicator of our overall performance</w:t>
            </w:r>
          </w:p>
        </w:tc>
      </w:tr>
    </w:tbl>
    <w:p>
      <w:pPr>
        <w:pStyle w:val="TextBody"/>
        <w:bidi w:val="0"/>
        <w:spacing w:lineRule="auto" w:line="312" w:before="80" w:after="80"/>
        <w:ind w:left="0" w:right="0" w:hanging="216"/>
        <w:jc w:val="left"/>
        <w:rPr/>
      </w:pPr>
      <w:r>
        <w:rPr>
          <w:rFonts w:ascii="Lato;sans-serif" w:hAnsi="Lato;sans-serif"/>
          <w:b w:val="false"/>
          <w:color w:val="000000"/>
          <w:sz w:val="10"/>
        </w:rPr>
        <w:t>(1)</w:t>
      </w:r>
      <w:r>
        <w:rPr>
          <w:rFonts w:ascii="Lato;sans-serif" w:hAnsi="Lato;sans-serif"/>
          <w:b w:val="false"/>
          <w:color w:val="000000"/>
          <w:sz w:val="16"/>
        </w:rPr>
        <w:t>See Appendix A for information about how organic sales growth was calculated from net sales growth.</w:t>
      </w:r>
    </w:p>
    <w:p>
      <w:pPr>
        <w:pStyle w:val="TextBody"/>
        <w:bidi w:val="0"/>
        <w:spacing w:lineRule="auto" w:line="312" w:before="80" w:after="120"/>
        <w:ind w:left="0" w:right="0" w:hanging="216"/>
        <w:jc w:val="left"/>
        <w:rPr/>
      </w:pPr>
      <w:r>
        <w:rPr>
          <w:rFonts w:ascii="Lato;sans-serif" w:hAnsi="Lato;sans-serif"/>
          <w:b w:val="false"/>
          <w:color w:val="000000"/>
          <w:sz w:val="10"/>
        </w:rPr>
        <w:t>(2)</w:t>
      </w:r>
      <w:r>
        <w:rPr>
          <w:rFonts w:ascii="Lato;sans-serif" w:hAnsi="Lato;sans-serif"/>
          <w:b w:val="false"/>
          <w:color w:val="000000"/>
          <w:sz w:val="16"/>
        </w:rPr>
        <w:t>In 2024 the adjustments shown in Appendix A were made to diluted earnings per share to determine adjusted EPS, consistent with our Form 10-K results. For purposes of the annual incentive program, the Committee added the amount below to exclude the impact of the sale of our personal protective equipment (PPE) business in 2024 on these full-year performance metrics.</w:t>
      </w:r>
    </w:p>
    <w:tbl>
      <w:tblPr>
        <w:tblW w:w="4355" w:type="dxa"/>
        <w:jc w:val="left"/>
        <w:tblInd w:w="0" w:type="dxa"/>
        <w:tblLayout w:type="fixed"/>
        <w:tblCellMar>
          <w:top w:w="28" w:type="dxa"/>
          <w:left w:w="28" w:type="dxa"/>
          <w:bottom w:w="28" w:type="dxa"/>
          <w:right w:w="28" w:type="dxa"/>
        </w:tblCellMar>
      </w:tblPr>
      <w:tblGrid>
        <w:gridCol w:w="1259"/>
        <w:gridCol w:w="1106"/>
        <w:gridCol w:w="1114"/>
        <w:gridCol w:w="211"/>
        <w:gridCol w:w="511"/>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Adjusted EPS (Form 10-K results)</w:t>
            </w:r>
          </w:p>
        </w:tc>
        <w:tc>
          <w:tcPr>
            <w:tcW w:w="211"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w:t>
            </w:r>
          </w:p>
        </w:tc>
        <w:tc>
          <w:tcPr>
            <w:tcW w:w="511"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7.30 </w:t>
            </w:r>
          </w:p>
        </w:tc>
        <w:tc>
          <w:tcPr>
            <w:tcW w:w="154"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Sale of PPE business impact on earnings</w:t>
            </w:r>
          </w:p>
        </w:tc>
        <w:tc>
          <w:tcPr>
            <w:tcW w:w="211" w:type="dxa"/>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w:t>
            </w:r>
          </w:p>
        </w:tc>
        <w:tc>
          <w:tcPr>
            <w:tcW w:w="511" w:type="dxa"/>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0.06 </w:t>
            </w:r>
          </w:p>
        </w:tc>
        <w:tc>
          <w:tcPr>
            <w:tcW w:w="15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Adjusted EPS for compensation payouts</w:t>
            </w:r>
          </w:p>
        </w:tc>
        <w:tc>
          <w:tcPr>
            <w:tcW w:w="21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w:t>
            </w:r>
          </w:p>
        </w:tc>
        <w:tc>
          <w:tcPr>
            <w:tcW w:w="51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7.36 </w:t>
            </w:r>
          </w:p>
        </w:tc>
        <w:tc>
          <w:tcPr>
            <w:tcW w:w="154"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Because Element 1 represents key company-wide goals, it produces the same payout percentage for each named executive officer based on how Kimberly-Clark performed against the organic sales growth and adjusted EPS goals established in February of each year. For 2024, the Committee set these goals and the corresponding payout percentages at the following levels (with interpolation between levels earned):</w:t>
      </w:r>
    </w:p>
    <w:tbl>
      <w:tblPr>
        <w:tblW w:w="8968" w:type="dxa"/>
        <w:jc w:val="left"/>
        <w:tblInd w:w="0" w:type="dxa"/>
        <w:tblLayout w:type="fixed"/>
        <w:tblCellMar>
          <w:top w:w="28" w:type="dxa"/>
          <w:left w:w="28" w:type="dxa"/>
          <w:bottom w:w="28" w:type="dxa"/>
          <w:right w:w="28" w:type="dxa"/>
        </w:tblCellMar>
      </w:tblPr>
      <w:tblGrid>
        <w:gridCol w:w="1255"/>
        <w:gridCol w:w="1101"/>
        <w:gridCol w:w="1108"/>
        <w:gridCol w:w="263"/>
        <w:gridCol w:w="263"/>
        <w:gridCol w:w="660"/>
        <w:gridCol w:w="263"/>
        <w:gridCol w:w="263"/>
        <w:gridCol w:w="619"/>
        <w:gridCol w:w="263"/>
        <w:gridCol w:w="263"/>
        <w:gridCol w:w="659"/>
        <w:gridCol w:w="233"/>
        <w:gridCol w:w="233"/>
        <w:gridCol w:w="442"/>
        <w:gridCol w:w="263"/>
        <w:gridCol w:w="263"/>
        <w:gridCol w:w="554"/>
      </w:tblGrid>
      <w:tr>
        <w:trPr/>
        <w:tc>
          <w:tcPr>
            <w:tcW w:w="1255"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4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Measure (each weighted 50%)</w:t>
            </w:r>
          </w:p>
        </w:tc>
        <w:tc>
          <w:tcPr>
            <w:tcW w:w="35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Range of Performance Levels</w:t>
            </w:r>
          </w:p>
        </w:tc>
        <w:tc>
          <w:tcPr>
            <w:tcW w:w="90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Actual</w:t>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Payout</w:t>
            </w:r>
          </w:p>
        </w:tc>
      </w:tr>
      <w:tr>
        <w:trPr/>
        <w:tc>
          <w:tcPr>
            <w:tcW w:w="3464" w:type="dxa"/>
            <w:gridSpan w:val="3"/>
            <w:vMerge w:val="continue"/>
            <w:tcBorders/>
            <w:tcMar>
              <w:top w:w="0" w:type="dxa"/>
              <w:left w:w="0" w:type="dxa"/>
              <w:bottom w:w="0" w:type="dxa"/>
              <w:right w:w="0" w:type="dxa"/>
            </w:tcMar>
            <w:vAlign w:val="center"/>
          </w:tcPr>
          <w:p>
            <w:pPr>
              <w:pStyle w:val="Normal"/>
              <w:bidi w:val="0"/>
              <w:jc w:val="left"/>
              <w:rPr/>
            </w:pPr>
            <w:r>
              <w:rPr/>
            </w:r>
          </w:p>
        </w:tc>
        <w:tc>
          <w:tcPr>
            <w:tcW w:w="118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Threshold</w:t>
            </w:r>
          </w:p>
        </w:tc>
        <w:tc>
          <w:tcPr>
            <w:tcW w:w="1145"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Target</w:t>
            </w:r>
          </w:p>
        </w:tc>
        <w:tc>
          <w:tcPr>
            <w:tcW w:w="1185"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Maximum</w:t>
            </w:r>
          </w:p>
        </w:tc>
        <w:tc>
          <w:tcPr>
            <w:tcW w:w="908" w:type="dxa"/>
            <w:gridSpan w:val="3"/>
            <w:vMerge w:val="continue"/>
            <w:tcBorders/>
            <w:tcMar>
              <w:top w:w="0" w:type="dxa"/>
              <w:left w:w="0" w:type="dxa"/>
              <w:bottom w:w="0" w:type="dxa"/>
              <w:right w:w="0" w:type="dxa"/>
            </w:tcMar>
            <w:vAlign w:val="center"/>
          </w:tcPr>
          <w:p>
            <w:pPr>
              <w:pStyle w:val="Normal"/>
              <w:bidi w:val="0"/>
              <w:jc w:val="left"/>
              <w:rPr/>
            </w:pPr>
            <w:r>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64"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Organic sales growth</w:t>
            </w:r>
          </w:p>
        </w:tc>
        <w:tc>
          <w:tcPr>
            <w:tcW w:w="5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0.6 </w:t>
            </w:r>
          </w:p>
        </w:tc>
        <w:tc>
          <w:tcPr>
            <w:tcW w:w="660"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5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4.0 </w:t>
            </w:r>
          </w:p>
        </w:tc>
        <w:tc>
          <w:tcPr>
            <w:tcW w:w="619"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5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8.5 </w:t>
            </w:r>
          </w:p>
        </w:tc>
        <w:tc>
          <w:tcPr>
            <w:tcW w:w="659"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46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3.2 </w:t>
            </w:r>
          </w:p>
        </w:tc>
        <w:tc>
          <w:tcPr>
            <w:tcW w:w="442"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5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82 </w:t>
            </w:r>
          </w:p>
        </w:tc>
        <w:tc>
          <w:tcPr>
            <w:tcW w:w="554"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r>
      <w:tr>
        <w:trPr/>
        <w:tc>
          <w:tcPr>
            <w:tcW w:w="346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Adjusted EPS</w:t>
            </w:r>
          </w:p>
        </w:tc>
        <w:tc>
          <w:tcPr>
            <w:tcW w:w="118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$6.58</w:t>
            </w:r>
          </w:p>
        </w:tc>
        <w:tc>
          <w:tcPr>
            <w:tcW w:w="114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$6.95</w:t>
            </w:r>
          </w:p>
        </w:tc>
        <w:tc>
          <w:tcPr>
            <w:tcW w:w="118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$7.45</w:t>
            </w:r>
          </w:p>
        </w:tc>
        <w:tc>
          <w:tcPr>
            <w:tcW w:w="90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$7.36</w:t>
            </w:r>
          </w:p>
        </w:tc>
        <w:tc>
          <w:tcPr>
            <w:tcW w:w="5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183 </w:t>
            </w:r>
          </w:p>
        </w:tc>
        <w:tc>
          <w:tcPr>
            <w:tcW w:w="554" w:type="dxa"/>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r>
      <w:tr>
        <w:trPr/>
        <w:tc>
          <w:tcPr>
            <w:tcW w:w="3464"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8"/>
              </w:rPr>
            </w:pPr>
            <w:r>
              <w:rPr>
                <w:rFonts w:ascii="Lato;sans-serif" w:hAnsi="Lato;sans-serif"/>
                <w:b/>
                <w:color w:val="000000"/>
                <w:sz w:val="18"/>
              </w:rPr>
              <w:t>Payout Percentage</w:t>
            </w:r>
          </w:p>
        </w:tc>
        <w:tc>
          <w:tcPr>
            <w:tcW w:w="5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25 </w:t>
            </w:r>
          </w:p>
        </w:tc>
        <w:tc>
          <w:tcPr>
            <w:tcW w:w="660"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5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100 </w:t>
            </w:r>
          </w:p>
        </w:tc>
        <w:tc>
          <w:tcPr>
            <w:tcW w:w="619"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5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200 </w:t>
            </w:r>
          </w:p>
        </w:tc>
        <w:tc>
          <w:tcPr>
            <w:tcW w:w="659"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908"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pPr>
            <w:r>
              <w:rPr>
                <w:rFonts w:ascii="Lato;sans-serif" w:hAnsi="Lato;sans-serif"/>
                <w:b/>
                <w:color w:val="000000"/>
                <w:sz w:val="18"/>
              </w:rPr>
              <w:t>133</w:t>
            </w:r>
            <w:r>
              <w:rPr>
                <w:color w:val="000000"/>
              </w:rPr>
              <w:t> </w:t>
            </w:r>
          </w:p>
        </w:tc>
        <w:tc>
          <w:tcPr>
            <w:tcW w:w="554"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8"/>
              </w:rPr>
            </w:pPr>
            <w:r>
              <w:rPr>
                <w:rFonts w:ascii="Lato;sans-serif" w:hAnsi="Lato;sans-serif"/>
                <w:b/>
                <w:color w:val="000000"/>
                <w:sz w:val="18"/>
              </w:rPr>
              <w:t>%</w:t>
            </w:r>
          </w:p>
        </w:tc>
      </w:tr>
    </w:tbl>
    <w:p>
      <w:pPr>
        <w:pStyle w:val="TextBody"/>
        <w:bidi w:val="0"/>
        <w:spacing w:lineRule="auto" w:line="312" w:before="120" w:after="120"/>
        <w:jc w:val="left"/>
        <w:rPr/>
      </w:pPr>
      <w:r>
        <w:rPr>
          <w:rFonts w:ascii="Lato Bold;sans-serif" w:hAnsi="Lato Bold;sans-serif"/>
          <w:b/>
          <w:color w:val="000000"/>
          <w:sz w:val="19"/>
        </w:rPr>
        <w:t>Actual results.</w:t>
      </w:r>
      <w:r>
        <w:rPr>
          <w:color w:val="000000"/>
        </w:rPr>
        <w:t xml:space="preserve"> </w:t>
      </w:r>
      <w:r>
        <w:rPr>
          <w:rFonts w:ascii="Lato;sans-serif" w:hAnsi="Lato;sans-serif"/>
          <w:b w:val="false"/>
          <w:color w:val="000000"/>
          <w:sz w:val="19"/>
        </w:rPr>
        <w:t>Our 2024 results for organic sales growth and adjusted EPS are shown in the table above. Based on these results, the 2024 payout percentage for achieving the corporate key financial goals was 133 percent of target.</w:t>
      </w:r>
    </w:p>
    <w:p>
      <w:pPr>
        <w:pStyle w:val="TextBody"/>
        <w:bidi w:val="0"/>
        <w:spacing w:lineRule="auto" w:line="288" w:before="0" w:after="0"/>
        <w:jc w:val="left"/>
        <w:rPr>
          <w:rFonts w:ascii="Lato Bold;sans-serif" w:hAnsi="Lato Bold;sans-serif"/>
          <w:b/>
          <w:color w:val="000000"/>
          <w:sz w:val="22"/>
        </w:rPr>
      </w:pPr>
      <w:r>
        <w:rPr>
          <w:rFonts w:ascii="Lato Bold;sans-serif" w:hAnsi="Lato Bold;sans-serif"/>
          <w:b/>
          <w:color w:val="000000"/>
          <w:sz w:val="22"/>
        </w:rPr>
        <w:t>Element 2: Additional corporate non-financial strategic performance goals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At the beginning of 2024, the Committee established additional corporate non-financial strategic performance goals and corresponding payout percentages that are intended to challenge our executives to exceed our long-term objectives. At the end of the year, it determined a payout percentage based on the level of achievement relative to the established goals. The weighting of Element 2 for each officer is shown in the table above under “Annual Cash Incentive Program 2024 Performance Goals and Weights.”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629920"/>
                <wp:effectExtent l="0" t="0" r="0" b="0"/>
                <wp:wrapNone/>
                <wp:docPr id="280" name="Frame6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59</w:t>
                            </w:r>
                          </w:p>
                        </w:tc>
                      </w:tr>
                    </w:tbl>
                    <w:p>
                      <w:pPr>
                        <w:pStyle w:val="TextBody"/>
                        <w:bidi w:val="0"/>
                        <w:spacing w:before="0" w:after="283"/>
                        <w:jc w:val="left"/>
                        <w:rPr/>
                      </w:pPr>
                      <w:r>
                        <w:rPr/>
                      </w:r>
                    </w:p>
                  </w:txbxContent>
                </v:textbox>
                <w10:wrap type="none"/>
              </v:rect>
            </w:pict>
          </mc:Fallback>
        </mc:AlternateContent>
      </w:r>
    </w:p>
    <w:tbl>
      <w:tblPr>
        <w:tblW w:w="3476" w:type="dxa"/>
        <w:jc w:val="left"/>
        <w:tblInd w:w="0" w:type="dxa"/>
        <w:tblLayout w:type="fixed"/>
        <w:tblCellMar>
          <w:top w:w="28" w:type="dxa"/>
          <w:left w:w="28" w:type="dxa"/>
          <w:bottom w:w="28" w:type="dxa"/>
          <w:right w:w="28" w:type="dxa"/>
        </w:tblCellMar>
      </w:tblPr>
      <w:tblGrid>
        <w:gridCol w:w="1059"/>
        <w:gridCol w:w="932"/>
        <w:gridCol w:w="934"/>
        <w:gridCol w:w="161"/>
        <w:gridCol w:w="161"/>
        <w:gridCol w:w="22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4"/>
              </w:rPr>
            </w:pPr>
            <w:r>
              <w:rPr>
                <w:rFonts w:ascii="Lato Bold;sans-serif" w:hAnsi="Lato Bold;sans-serif"/>
                <w:b/>
                <w:color w:val="000000"/>
                <w:sz w:val="14"/>
              </w:rPr>
              <w:t>Compensation discussion and analysis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81"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16" descr=""/>
                          <pic:cNvPicPr>
                            <a:picLocks noChangeAspect="1" noChangeArrowheads="1"/>
                          </pic:cNvPicPr>
                        </pic:nvPicPr>
                        <pic:blipFill>
                          <a:blip r:embed="rId217"/>
                          <a:stretch>
                            <a:fillRect/>
                          </a:stretch>
                        </pic:blipFill>
                        <pic:spPr bwMode="auto">
                          <a:xfrm>
                            <a:off x="0" y="0"/>
                            <a:ext cx="228600" cy="180975"/>
                          </a:xfrm>
                          <a:prstGeom prst="rect">
                            <a:avLst/>
                          </a:prstGeom>
                        </pic:spPr>
                      </pic:pic>
                    </a:graphicData>
                  </a:graphic>
                </wp:inline>
              </w:drawing>
            </w:r>
            <w:r>
              <w:rPr>
                <w:color w:val="000000"/>
              </w:rPr>
              <w:t> </w:t>
            </w:r>
          </w:p>
        </w:tc>
      </w:tr>
      <w:tr>
        <w:trPr/>
        <w:tc>
          <w:tcPr>
            <w:tcW w:w="29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For 2024, the Committee chose the following as additional corporate non-financial strategic performance goals:</w:t>
      </w:r>
    </w:p>
    <w:p>
      <w:pPr>
        <w:pStyle w:val="TextBody"/>
        <w:bidi w:val="0"/>
        <w:spacing w:lineRule="auto" w:line="312" w:before="120" w:after="120"/>
        <w:jc w:val="left"/>
        <w:rPr>
          <w:rFonts w:ascii="Lato Bold;sans-serif" w:hAnsi="Lato Bold;sans-serif"/>
          <w:b/>
          <w:color w:val="000000"/>
          <w:sz w:val="19"/>
        </w:rPr>
      </w:pPr>
      <w:r>
        <w:rPr>
          <w:rFonts w:ascii="Lato Bold;sans-serif" w:hAnsi="Lato Bold;sans-serif"/>
          <w:b/>
          <w:color w:val="000000"/>
          <w:sz w:val="19"/>
        </w:rPr>
        <w:t>Market share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Grow or maintain overall weighted market share</w:t>
      </w:r>
    </w:p>
    <w:p>
      <w:pPr>
        <w:pStyle w:val="TextBody"/>
        <w:bidi w:val="0"/>
        <w:spacing w:lineRule="auto" w:line="312" w:before="120" w:after="120"/>
        <w:jc w:val="left"/>
        <w:rPr>
          <w:rFonts w:ascii="Lato Bold;sans-serif" w:hAnsi="Lato Bold;sans-serif"/>
          <w:b/>
          <w:color w:val="000000"/>
          <w:sz w:val="19"/>
        </w:rPr>
      </w:pPr>
      <w:r>
        <w:rPr>
          <w:rFonts w:ascii="Lato Bold;sans-serif" w:hAnsi="Lato Bold;sans-serif"/>
          <w:b/>
          <w:color w:val="000000"/>
          <w:sz w:val="19"/>
        </w:rPr>
        <w:t>Inclusion, Equity and Diversity</w:t>
      </w:r>
    </w:p>
    <w:p>
      <w:pPr>
        <w:pStyle w:val="TextBody"/>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Progress towards building a culture of inclusion that encourages the recruitment, development and retention of talent from all backgrounds</w:t>
      </w:r>
    </w:p>
    <w:p>
      <w:pPr>
        <w:pStyle w:val="TextBody"/>
        <w:bidi w:val="0"/>
        <w:spacing w:lineRule="auto" w:line="312" w:before="120" w:after="120"/>
        <w:jc w:val="left"/>
        <w:rPr/>
      </w:pPr>
      <w:r>
        <w:rPr>
          <w:rFonts w:ascii="Lato Bold;sans-serif" w:hAnsi="Lato Bold;sans-serif"/>
          <w:b/>
          <w:color w:val="000000"/>
          <w:sz w:val="19"/>
        </w:rPr>
        <w:t>Market share goal.</w:t>
      </w:r>
      <w:r>
        <w:rPr>
          <w:color w:val="000000"/>
        </w:rPr>
        <w:t xml:space="preserve"> </w:t>
      </w:r>
      <w:r>
        <w:rPr>
          <w:rFonts w:ascii="Lato;sans-serif" w:hAnsi="Lato;sans-serif"/>
          <w:b w:val="false"/>
          <w:color w:val="000000"/>
          <w:sz w:val="19"/>
        </w:rPr>
        <w:t xml:space="preserve">The target for our market share goal is considered confidential business information, disclosure of which could harm our operating performance or ability to compete. This goal was weighted at 20 percent for our Named Executive Officers other than Mr. Torres, for whom this goal was weighted at 6 percent. Achievement of the goal would require management to maintain or outperform its prior year performance. Actual results against the target corresponded to a calculated payout level of 110 percent. </w:t>
      </w:r>
    </w:p>
    <w:p>
      <w:pPr>
        <w:pStyle w:val="TextBody"/>
        <w:bidi w:val="0"/>
        <w:spacing w:lineRule="auto" w:line="312" w:before="120" w:after="120"/>
        <w:jc w:val="left"/>
        <w:rPr/>
      </w:pPr>
      <w:r>
        <w:rPr>
          <w:rFonts w:ascii="Lato Bold;sans-serif" w:hAnsi="Lato Bold;sans-serif"/>
          <w:b/>
          <w:color w:val="000000"/>
          <w:sz w:val="19"/>
        </w:rPr>
        <w:t xml:space="preserve">Inclusion, equity, and diversity goal. </w:t>
      </w:r>
      <w:r>
        <w:rPr>
          <w:rFonts w:ascii="Lato;sans-serif" w:hAnsi="Lato;sans-serif"/>
          <w:b w:val="false"/>
          <w:color w:val="000000"/>
          <w:sz w:val="19"/>
        </w:rPr>
        <w:t>The Committee does not use a formula to assess the performance of this goal but instead takes a holistic approach and considers performance on several objectives collectively. This goal was weighted at 10% percent for our Named Executive Officers other than Mr. Torres, for whom this goal was weighted at 3 percent. In 2024, the Committee made a qualitative assessment that the performance on this goal resulted in payout level of 100 percent.</w:t>
      </w:r>
    </w:p>
    <w:p>
      <w:pPr>
        <w:pStyle w:val="TextBody"/>
        <w:bidi w:val="0"/>
        <w:spacing w:lineRule="auto" w:line="312" w:before="120" w:after="120"/>
        <w:jc w:val="left"/>
        <w:rPr/>
      </w:pPr>
      <w:r>
        <w:rPr>
          <w:rFonts w:ascii="Lato Bold;sans-serif" w:hAnsi="Lato Bold;sans-serif"/>
          <w:b/>
          <w:color w:val="000000"/>
          <w:sz w:val="19"/>
        </w:rPr>
        <w:t xml:space="preserve">Actual payout percentages. </w:t>
      </w:r>
      <w:r>
        <w:rPr>
          <w:rFonts w:ascii="Lato;sans-serif" w:hAnsi="Lato;sans-serif"/>
          <w:b w:val="false"/>
          <w:color w:val="000000"/>
          <w:sz w:val="19"/>
        </w:rPr>
        <w:t>For 2024, our calculated payout for our market share goal was 110 percent and for our inclusion, equity, and diversity goal was 100 percent. Based on these results, the 2024 payout percentage for achieving these other non-financial strategic goals (i.e., Element 2) was 107 percent of target.</w:t>
      </w:r>
    </w:p>
    <w:p>
      <w:pPr>
        <w:pStyle w:val="TextBody"/>
        <w:bidi w:val="0"/>
        <w:spacing w:lineRule="auto" w:line="288" w:before="0" w:after="0"/>
        <w:jc w:val="left"/>
        <w:rPr>
          <w:rFonts w:ascii="Lato Bold;sans-serif" w:hAnsi="Lato Bold;sans-serif"/>
          <w:b/>
          <w:color w:val="000000"/>
          <w:sz w:val="22"/>
        </w:rPr>
      </w:pPr>
      <w:r>
        <w:rPr>
          <w:rFonts w:ascii="Lato Bold;sans-serif" w:hAnsi="Lato Bold;sans-serif"/>
          <w:b/>
          <w:color w:val="000000"/>
          <w:sz w:val="22"/>
        </w:rPr>
        <w:t>Element 3: Business unit goals for Mr. Torres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Mr. Torres, who leads our North America business unit, also has business unit performance goals established by our CEO. These goals are intended to challenge Mr. Torres to exceed the objectives for our North America business (excluding our professional business for which he did not assume responsibility until mid-year) and includes both strategic performance and financial goals. The targets for these goals are considered confidential business information, disclosure of which could harm our operating performance or ability to compete. Achievement of the goals would require the business unit to outperform its prior year performance.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At the end of the year, our CEO provided the Committee with an assessment of our North America business’s performance against its objectives. Based on the assessed performance and taking into account the CEO’s recommendations, the Committee determined a payout percentage of 83 percent for Mr. Torres’ business unit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629920"/>
                <wp:effectExtent l="0" t="0" r="0" b="0"/>
                <wp:wrapNone/>
                <wp:docPr id="282" name="Frame6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60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60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475" w:type="dxa"/>
        <w:jc w:val="left"/>
        <w:tblInd w:w="0" w:type="dxa"/>
        <w:tblLayout w:type="fixed"/>
        <w:tblCellMar>
          <w:top w:w="28" w:type="dxa"/>
          <w:left w:w="28" w:type="dxa"/>
          <w:bottom w:w="28" w:type="dxa"/>
          <w:right w:w="28" w:type="dxa"/>
        </w:tblCellMar>
      </w:tblPr>
      <w:tblGrid>
        <w:gridCol w:w="188"/>
        <w:gridCol w:w="166"/>
        <w:gridCol w:w="167"/>
        <w:gridCol w:w="863"/>
        <w:gridCol w:w="863"/>
        <w:gridCol w:w="122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83"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17" descr=""/>
                          <pic:cNvPicPr>
                            <a:picLocks noChangeAspect="1" noChangeArrowheads="1"/>
                          </pic:cNvPicPr>
                        </pic:nvPicPr>
                        <pic:blipFill>
                          <a:blip r:embed="rId218"/>
                          <a:stretch>
                            <a:fillRect/>
                          </a:stretch>
                        </pic:blipFill>
                        <pic:spPr bwMode="auto">
                          <a:xfrm>
                            <a:off x="0" y="0"/>
                            <a:ext cx="228600" cy="180975"/>
                          </a:xfrm>
                          <a:prstGeom prst="rect">
                            <a:avLst/>
                          </a:prstGeom>
                        </pic:spPr>
                      </pic:pic>
                    </a:graphicData>
                  </a:graphic>
                </wp:inline>
              </w:drawing>
            </w: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discussion and analysis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Annual Cash Incentive Payouts for 2024</w:t>
      </w:r>
    </w:p>
    <w:p>
      <w:pPr>
        <w:pStyle w:val="TextBody"/>
        <w:bidi w:val="0"/>
        <w:spacing w:lineRule="auto" w:line="312" w:before="120" w:after="120"/>
        <w:jc w:val="left"/>
        <w:rPr/>
      </w:pPr>
      <w:r>
        <w:rPr>
          <w:rFonts w:ascii="Lato;sans-serif" w:hAnsi="Lato;sans-serif"/>
          <w:b w:val="false"/>
          <w:color w:val="000000"/>
          <w:sz w:val="19"/>
        </w:rPr>
        <w:t xml:space="preserve">The following table shows the payout opportunities and the actual payouts of annual cash incentives for 2024 for each of our named executive officers. Payouts were based on the payout percentages for each element, weighted for each executive as shown on page </w:t>
      </w:r>
      <w:hyperlink w:anchor="i8655c25cdf134350a0cd502500e52ffc_14136">
        <w:r>
          <w:rPr>
            <w:rStyle w:val="InternetLink"/>
            <w:rFonts w:ascii="Lato;sans-serif" w:hAnsi="Lato;sans-serif"/>
            <w:b w:val="false"/>
            <w:strike w:val="false"/>
            <w:dstrike w:val="false"/>
            <w:color w:val="000000"/>
            <w:sz w:val="19"/>
            <w:u w:val="none"/>
            <w:effect w:val="none"/>
          </w:rPr>
          <w:t>58</w:t>
        </w:r>
      </w:hyperlink>
      <w:r>
        <w:rPr>
          <w:rFonts w:ascii="Lato;sans-serif" w:hAnsi="Lato;sans-serif"/>
          <w:b w:val="false"/>
          <w:color w:val="000000"/>
          <w:sz w:val="19"/>
        </w:rPr>
        <w:t>.</w:t>
      </w:r>
    </w:p>
    <w:tbl>
      <w:tblPr>
        <w:tblW w:w="9284" w:type="dxa"/>
        <w:jc w:val="left"/>
        <w:tblInd w:w="0" w:type="dxa"/>
        <w:tblLayout w:type="fixed"/>
        <w:tblCellMar>
          <w:top w:w="28" w:type="dxa"/>
          <w:left w:w="28" w:type="dxa"/>
          <w:bottom w:w="28" w:type="dxa"/>
          <w:right w:w="28" w:type="dxa"/>
        </w:tblCellMar>
      </w:tblPr>
      <w:tblGrid>
        <w:gridCol w:w="660"/>
        <w:gridCol w:w="583"/>
        <w:gridCol w:w="586"/>
        <w:gridCol w:w="271"/>
        <w:gridCol w:w="271"/>
        <w:gridCol w:w="674"/>
        <w:gridCol w:w="422"/>
        <w:gridCol w:w="422"/>
        <w:gridCol w:w="431"/>
        <w:gridCol w:w="109"/>
        <w:gridCol w:w="109"/>
        <w:gridCol w:w="109"/>
        <w:gridCol w:w="489"/>
        <w:gridCol w:w="489"/>
        <w:gridCol w:w="491"/>
        <w:gridCol w:w="109"/>
        <w:gridCol w:w="109"/>
        <w:gridCol w:w="109"/>
        <w:gridCol w:w="286"/>
        <w:gridCol w:w="252"/>
        <w:gridCol w:w="626"/>
        <w:gridCol w:w="563"/>
        <w:gridCol w:w="563"/>
        <w:gridCol w:w="551"/>
      </w:tblGrid>
      <w:tr>
        <w:trPr/>
        <w:tc>
          <w:tcPr>
            <w:tcW w:w="6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82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Name</w:t>
            </w:r>
          </w:p>
        </w:tc>
        <w:tc>
          <w:tcPr>
            <w:tcW w:w="249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2024 Annual</w:t>
              <w:br/>
              <w:t>Incentive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2024 Annual</w:t>
              <w:br/>
              <w:t>Incentive</w:t>
              <w:b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2024 Annual</w:t>
              <w:br/>
              <w:t>Incentive Payout</w:t>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 of Base</w:t>
              <w:br/>
              <w:t>Salary</w:t>
            </w:r>
          </w:p>
        </w:tc>
        <w:tc>
          <w:tcPr>
            <w:tcW w:w="1275"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 of</w:t>
              <w:br/>
              <w:t>Target</w:t>
            </w:r>
          </w:p>
        </w:tc>
        <w:tc>
          <w:tcPr>
            <w:tcW w:w="1677"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Amount($)</w:t>
            </w:r>
          </w:p>
        </w:tc>
      </w:tr>
      <w:tr>
        <w:trPr/>
        <w:tc>
          <w:tcPr>
            <w:tcW w:w="182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Michael D. Hsu</w:t>
            </w:r>
          </w:p>
        </w:tc>
        <w:tc>
          <w:tcPr>
            <w:tcW w:w="542"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175 </w:t>
            </w:r>
          </w:p>
        </w:tc>
        <w:tc>
          <w:tcPr>
            <w:tcW w:w="674"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1275"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2,625,000</w:t>
            </w:r>
          </w:p>
        </w:tc>
        <w:tc>
          <w:tcPr>
            <w:tcW w:w="3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5,250,000</w:t>
            </w:r>
          </w:p>
        </w:tc>
        <w:tc>
          <w:tcPr>
            <w:tcW w:w="3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125 </w:t>
            </w:r>
          </w:p>
        </w:tc>
        <w:tc>
          <w:tcPr>
            <w:tcW w:w="626"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11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3,275,424 </w:t>
            </w:r>
          </w:p>
        </w:tc>
        <w:tc>
          <w:tcPr>
            <w:tcW w:w="55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Nelson Urdaneta</w:t>
            </w:r>
          </w:p>
        </w:tc>
        <w:tc>
          <w:tcPr>
            <w:tcW w:w="5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100 </w:t>
            </w:r>
          </w:p>
        </w:tc>
        <w:tc>
          <w:tcPr>
            <w:tcW w:w="674" w:type="dxa"/>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127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900,000</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1,800,000</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125 </w:t>
            </w:r>
          </w:p>
        </w:tc>
        <w:tc>
          <w:tcPr>
            <w:tcW w:w="626" w:type="dxa"/>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1,123,003 </w:t>
            </w:r>
          </w:p>
        </w:tc>
        <w:tc>
          <w:tcPr>
            <w:tcW w:w="5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Jeffrey Melucci</w:t>
            </w:r>
          </w:p>
        </w:tc>
        <w:tc>
          <w:tcPr>
            <w:tcW w:w="5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110 </w:t>
            </w:r>
          </w:p>
        </w:tc>
        <w:tc>
          <w:tcPr>
            <w:tcW w:w="674" w:type="dxa"/>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127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990,000</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1,980,000</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125 </w:t>
            </w:r>
          </w:p>
        </w:tc>
        <w:tc>
          <w:tcPr>
            <w:tcW w:w="626" w:type="dxa"/>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1,235,303 </w:t>
            </w:r>
          </w:p>
        </w:tc>
        <w:tc>
          <w:tcPr>
            <w:tcW w:w="5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Zackery Hicks</w:t>
            </w:r>
          </w:p>
        </w:tc>
        <w:tc>
          <w:tcPr>
            <w:tcW w:w="5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100 </w:t>
            </w:r>
          </w:p>
        </w:tc>
        <w:tc>
          <w:tcPr>
            <w:tcW w:w="674" w:type="dxa"/>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127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1,020,000</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2,040,000</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125 </w:t>
            </w:r>
          </w:p>
        </w:tc>
        <w:tc>
          <w:tcPr>
            <w:tcW w:w="626" w:type="dxa"/>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1,272,736 </w:t>
            </w:r>
          </w:p>
        </w:tc>
        <w:tc>
          <w:tcPr>
            <w:tcW w:w="5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Russell Torres</w:t>
            </w:r>
          </w:p>
        </w:tc>
        <w:tc>
          <w:tcPr>
            <w:tcW w:w="542"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100 </w:t>
            </w:r>
          </w:p>
        </w:tc>
        <w:tc>
          <w:tcPr>
            <w:tcW w:w="674"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1275"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900,000</w:t>
            </w:r>
          </w:p>
        </w:tc>
        <w:tc>
          <w:tcPr>
            <w:tcW w:w="327"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1,800,000</w:t>
            </w:r>
          </w:p>
        </w:tc>
        <w:tc>
          <w:tcPr>
            <w:tcW w:w="327"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96 </w:t>
            </w:r>
          </w:p>
        </w:tc>
        <w:tc>
          <w:tcPr>
            <w:tcW w:w="62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11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860,178 </w:t>
            </w:r>
          </w:p>
        </w:tc>
        <w:tc>
          <w:tcPr>
            <w:tcW w:w="55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Long-Term Equity Incentive Compensation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Committee awards long-term equity incentive grants to executive officers as part of their overall compensation package. These awards are consistent with the Committee’s objectives of aligning our senior leaders’ interests with the financial interests of our stockholders, focusing on our long-term success, supporting our performance-oriented environment, and offering competitive compensation packages.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Information regarding long-term equity incentive awards granted to our named executive officers can be found under “Summary Compensation,” “Grants of Plan-Based Awards,” and “Discussion of Summary Compensation and Plan-Based Awards Tables.”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629920"/>
                <wp:effectExtent l="0" t="0" r="0" b="0"/>
                <wp:wrapNone/>
                <wp:docPr id="284" name="Frame6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61</w:t>
                            </w:r>
                          </w:p>
                        </w:tc>
                      </w:tr>
                    </w:tbl>
                    <w:p>
                      <w:pPr>
                        <w:pStyle w:val="TextBody"/>
                        <w:bidi w:val="0"/>
                        <w:spacing w:before="0" w:after="283"/>
                        <w:jc w:val="left"/>
                        <w:rPr/>
                      </w:pPr>
                      <w:r>
                        <w:rPr/>
                      </w:r>
                    </w:p>
                  </w:txbxContent>
                </v:textbox>
                <w10:wrap type="none"/>
              </v:rect>
            </w:pict>
          </mc:Fallback>
        </mc:AlternateContent>
      </w:r>
    </w:p>
    <w:tbl>
      <w:tblPr>
        <w:tblW w:w="3476" w:type="dxa"/>
        <w:jc w:val="left"/>
        <w:tblInd w:w="0" w:type="dxa"/>
        <w:tblLayout w:type="fixed"/>
        <w:tblCellMar>
          <w:top w:w="28" w:type="dxa"/>
          <w:left w:w="28" w:type="dxa"/>
          <w:bottom w:w="28" w:type="dxa"/>
          <w:right w:w="28" w:type="dxa"/>
        </w:tblCellMar>
      </w:tblPr>
      <w:tblGrid>
        <w:gridCol w:w="1059"/>
        <w:gridCol w:w="932"/>
        <w:gridCol w:w="934"/>
        <w:gridCol w:w="161"/>
        <w:gridCol w:w="161"/>
        <w:gridCol w:w="22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4"/>
              </w:rPr>
            </w:pPr>
            <w:r>
              <w:rPr>
                <w:rFonts w:ascii="Lato Bold;sans-serif" w:hAnsi="Lato Bold;sans-serif"/>
                <w:b/>
                <w:color w:val="000000"/>
                <w:sz w:val="14"/>
              </w:rPr>
              <w:t>Compensation discussion and analysis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85"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18" descr=""/>
                          <pic:cNvPicPr>
                            <a:picLocks noChangeAspect="1" noChangeArrowheads="1"/>
                          </pic:cNvPicPr>
                        </pic:nvPicPr>
                        <pic:blipFill>
                          <a:blip r:embed="rId219"/>
                          <a:stretch>
                            <a:fillRect/>
                          </a:stretch>
                        </pic:blipFill>
                        <pic:spPr bwMode="auto">
                          <a:xfrm>
                            <a:off x="0" y="0"/>
                            <a:ext cx="228600" cy="180975"/>
                          </a:xfrm>
                          <a:prstGeom prst="rect">
                            <a:avLst/>
                          </a:prstGeom>
                        </pic:spPr>
                      </pic:pic>
                    </a:graphicData>
                  </a:graphic>
                </wp:inline>
              </w:drawing>
            </w:r>
            <w:r>
              <w:rPr>
                <w:color w:val="000000"/>
              </w:rPr>
              <w:t> </w:t>
            </w:r>
          </w:p>
        </w:tc>
      </w:tr>
      <w:tr>
        <w:trPr/>
        <w:tc>
          <w:tcPr>
            <w:tcW w:w="29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2024 Grants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determining the 2024 long-term equity incentive award amounts for our named executive officers, the Committee considered the following factors, among others: the specific responsibilities and performance of the executive, our business performance, retention needs, and other market factors. The Committee did not consider the amount of outstanding equity awards currently held by a named executive officer when making the 2024 annual awards because such amounts represent compensation attributable to prior years.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To determine target values, the Committee considered individual performance and the other factors listed above, as applicable. Target grant values were approved in February 2024 and were divided into two types: </w:t>
      </w:r>
    </w:p>
    <w:p>
      <w:pPr>
        <w:pStyle w:val="TextBody"/>
        <w:bidi w:val="0"/>
        <w:spacing w:lineRule="auto" w:line="312" w:before="80" w:after="80"/>
        <w:ind w:left="0" w:right="0" w:hanging="216"/>
        <w:jc w:val="left"/>
        <w:rPr/>
      </w:pPr>
      <w:r>
        <w:rPr>
          <w:color w:val="000000"/>
        </w:rPr>
        <w:t>•</w:t>
      </w:r>
      <w:r>
        <w:rPr>
          <w:rFonts w:ascii="Lato;sans-serif" w:hAnsi="Lato;sans-serif"/>
          <w:b w:val="false"/>
          <w:color w:val="000000"/>
          <w:sz w:val="19"/>
        </w:rPr>
        <w:t>Performance-based restricted share units (60 percent of the target grant value) which will vest on the third anniversary of the grant date.</w:t>
      </w:r>
    </w:p>
    <w:p>
      <w:pPr>
        <w:pStyle w:val="TextBody"/>
        <w:bidi w:val="0"/>
        <w:spacing w:lineRule="auto" w:line="312" w:before="80" w:after="80"/>
        <w:ind w:left="0" w:right="0" w:hanging="216"/>
        <w:jc w:val="left"/>
        <w:rPr/>
      </w:pPr>
      <w:r>
        <w:rPr>
          <w:color w:val="000000"/>
        </w:rPr>
        <w:t>•</w:t>
      </w:r>
      <w:r>
        <w:rPr>
          <w:rFonts w:ascii="Lato;sans-serif" w:hAnsi="Lato;sans-serif"/>
          <w:b w:val="false"/>
          <w:color w:val="000000"/>
          <w:sz w:val="19"/>
        </w:rPr>
        <w:t>Time-vested restricted share units (40 percent of the target grant value) which will vest in three annual installments of 30 percent, 30 percent and 40 percent beginning on the first anniversary of the grant date.</w:t>
      </w:r>
    </w:p>
    <w:p>
      <w:pPr>
        <w:pStyle w:val="TextBody"/>
        <w:bidi w:val="0"/>
        <w:spacing w:lineRule="auto" w:line="268" w:before="0" w:after="0"/>
        <w:jc w:val="left"/>
        <w:rPr>
          <w:rFonts w:ascii="Lato;sans-serif" w:hAnsi="Lato;sans-serif"/>
          <w:b w:val="false"/>
          <w:color w:val="000000"/>
          <w:sz w:val="19"/>
        </w:rPr>
      </w:pPr>
      <w:r>
        <w:rPr>
          <w:rFonts w:ascii="Lato;sans-serif" w:hAnsi="Lato;sans-serif"/>
          <w:b w:val="false"/>
          <w:color w:val="000000"/>
          <w:sz w:val="19"/>
        </w:rPr>
        <w:t>For valuation purposes, each performance-based and time-vested restricted share unit is assigned the same value as one share of our common stock on the date of grant.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Target grant values were as follows:</w:t>
      </w:r>
    </w:p>
    <w:tbl>
      <w:tblPr>
        <w:tblW w:w="7444" w:type="dxa"/>
        <w:jc w:val="left"/>
        <w:tblInd w:w="0" w:type="dxa"/>
        <w:tblLayout w:type="fixed"/>
        <w:tblCellMar>
          <w:top w:w="28" w:type="dxa"/>
          <w:left w:w="28" w:type="dxa"/>
          <w:bottom w:w="28" w:type="dxa"/>
          <w:right w:w="28" w:type="dxa"/>
        </w:tblCellMar>
      </w:tblPr>
      <w:tblGrid>
        <w:gridCol w:w="660"/>
        <w:gridCol w:w="583"/>
        <w:gridCol w:w="586"/>
        <w:gridCol w:w="644"/>
        <w:gridCol w:w="644"/>
        <w:gridCol w:w="646"/>
        <w:gridCol w:w="563"/>
        <w:gridCol w:w="563"/>
        <w:gridCol w:w="501"/>
        <w:gridCol w:w="601"/>
        <w:gridCol w:w="601"/>
        <w:gridCol w:w="852"/>
      </w:tblGrid>
      <w:tr>
        <w:trPr/>
        <w:tc>
          <w:tcPr>
            <w:tcW w:w="6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Name</w:t>
            </w:r>
          </w:p>
        </w:tc>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 xml:space="preserve">Total Target LTI </w:t>
              <w:br/>
              <w:t>Value ($)</w:t>
            </w:r>
          </w:p>
        </w:tc>
        <w:tc>
          <w:tcPr>
            <w:tcW w:w="16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Target PRSU</w:t>
              <w:br/>
              <w:t>Value ($)</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Time-Vested RSU</w:t>
              <w:br/>
              <w:t>Value ($)</w:t>
            </w:r>
          </w:p>
        </w:tc>
      </w:tr>
      <w:tr>
        <w:trPr/>
        <w:tc>
          <w:tcPr>
            <w:tcW w:w="182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Michael D. Hsu</w:t>
            </w:r>
          </w:p>
        </w:tc>
        <w:tc>
          <w:tcPr>
            <w:tcW w:w="1288"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11,000,000 </w:t>
            </w:r>
          </w:p>
        </w:tc>
        <w:tc>
          <w:tcPr>
            <w:tcW w:w="64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6,600,000 </w:t>
            </w:r>
          </w:p>
        </w:tc>
        <w:tc>
          <w:tcPr>
            <w:tcW w:w="50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4,400,000 </w:t>
            </w:r>
          </w:p>
        </w:tc>
        <w:tc>
          <w:tcPr>
            <w:tcW w:w="852"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Nelson Urdaneta</w:t>
            </w:r>
          </w:p>
        </w:tc>
        <w:tc>
          <w:tcPr>
            <w:tcW w:w="12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3,500,000 </w:t>
            </w:r>
          </w:p>
        </w:tc>
        <w:tc>
          <w:tcPr>
            <w:tcW w:w="6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2,100,000 </w:t>
            </w:r>
          </w:p>
        </w:tc>
        <w:tc>
          <w:tcPr>
            <w:tcW w:w="50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1,400,000 </w:t>
            </w:r>
          </w:p>
        </w:tc>
        <w:tc>
          <w:tcPr>
            <w:tcW w:w="852"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Jeffrey Melucci</w:t>
            </w:r>
          </w:p>
        </w:tc>
        <w:tc>
          <w:tcPr>
            <w:tcW w:w="12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3,150,000 </w:t>
            </w:r>
          </w:p>
        </w:tc>
        <w:tc>
          <w:tcPr>
            <w:tcW w:w="6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1,890,000 </w:t>
            </w:r>
          </w:p>
        </w:tc>
        <w:tc>
          <w:tcPr>
            <w:tcW w:w="50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1,260,000 </w:t>
            </w:r>
          </w:p>
        </w:tc>
        <w:tc>
          <w:tcPr>
            <w:tcW w:w="852"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Zackery Hicks</w:t>
            </w:r>
          </w:p>
        </w:tc>
        <w:tc>
          <w:tcPr>
            <w:tcW w:w="12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3,000,000 </w:t>
            </w:r>
          </w:p>
        </w:tc>
        <w:tc>
          <w:tcPr>
            <w:tcW w:w="6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1,800,000 </w:t>
            </w:r>
          </w:p>
        </w:tc>
        <w:tc>
          <w:tcPr>
            <w:tcW w:w="50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1,200,000 </w:t>
            </w:r>
          </w:p>
        </w:tc>
        <w:tc>
          <w:tcPr>
            <w:tcW w:w="852"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Russell Torres</w:t>
            </w:r>
          </w:p>
        </w:tc>
        <w:tc>
          <w:tcPr>
            <w:tcW w:w="1288"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3,300,000 </w:t>
            </w:r>
          </w:p>
        </w:tc>
        <w:tc>
          <w:tcPr>
            <w:tcW w:w="64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1,980,000 </w:t>
            </w:r>
          </w:p>
        </w:tc>
        <w:tc>
          <w:tcPr>
            <w:tcW w:w="50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1,320,000 </w:t>
            </w:r>
          </w:p>
        </w:tc>
        <w:tc>
          <w:tcPr>
            <w:tcW w:w="852"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The Committee increased the 2024 target for Mr. Hsu and Mr. Urdaneta by 1.9 and 29.6 percent, respectively, to align their pay more competitively with the market. The Committee increased the 2024 target for Mr. Torres and Mr. Melucci by 10.0 and 43.2 percent, respectively, in connection with their recently expanded roles.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addition to his long-term incentive award, the Committee granted a time-vested restricted share unit award to Mr. Melucci in connection with his promotion to Chief Business and Transformation officer in January 2024. This award vests ratably over two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629920"/>
                <wp:effectExtent l="0" t="0" r="0" b="0"/>
                <wp:wrapNone/>
                <wp:docPr id="286" name="Frame6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62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62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475" w:type="dxa"/>
        <w:jc w:val="left"/>
        <w:tblInd w:w="0" w:type="dxa"/>
        <w:tblLayout w:type="fixed"/>
        <w:tblCellMar>
          <w:top w:w="28" w:type="dxa"/>
          <w:left w:w="28" w:type="dxa"/>
          <w:bottom w:w="28" w:type="dxa"/>
          <w:right w:w="28" w:type="dxa"/>
        </w:tblCellMar>
      </w:tblPr>
      <w:tblGrid>
        <w:gridCol w:w="188"/>
        <w:gridCol w:w="166"/>
        <w:gridCol w:w="167"/>
        <w:gridCol w:w="863"/>
        <w:gridCol w:w="863"/>
        <w:gridCol w:w="122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87"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19" descr=""/>
                          <pic:cNvPicPr>
                            <a:picLocks noChangeAspect="1" noChangeArrowheads="1"/>
                          </pic:cNvPicPr>
                        </pic:nvPicPr>
                        <pic:blipFill>
                          <a:blip r:embed="rId220"/>
                          <a:stretch>
                            <a:fillRect/>
                          </a:stretch>
                        </pic:blipFill>
                        <pic:spPr bwMode="auto">
                          <a:xfrm>
                            <a:off x="0" y="0"/>
                            <a:ext cx="228600" cy="180975"/>
                          </a:xfrm>
                          <a:prstGeom prst="rect">
                            <a:avLst/>
                          </a:prstGeom>
                        </pic:spPr>
                      </pic:pic>
                    </a:graphicData>
                  </a:graphic>
                </wp:inline>
              </w:drawing>
            </w: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discussion and analysis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Performance Goals and Potential Payouts for 2024 - 2026 Performance-Based Restricted Share Units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May 2024, the Committee determined the performance objectives for the performance-based restricted share unit awards granted in 2024 based on average annual organic sales growth and cumulative modified free cash flow (MFCF) for the three-year period January 1, 2024 through December 31, 2026, weighted equally.</w:t>
      </w:r>
    </w:p>
    <w:tbl>
      <w:tblPr>
        <w:tblW w:w="10205" w:type="dxa"/>
        <w:jc w:val="left"/>
        <w:tblInd w:w="0" w:type="dxa"/>
        <w:tblLayout w:type="fixed"/>
        <w:tblCellMar>
          <w:top w:w="28" w:type="dxa"/>
          <w:left w:w="28" w:type="dxa"/>
          <w:bottom w:w="28" w:type="dxa"/>
          <w:right w:w="28" w:type="dxa"/>
        </w:tblCellMar>
      </w:tblPr>
      <w:tblGrid>
        <w:gridCol w:w="610"/>
        <w:gridCol w:w="535"/>
        <w:gridCol w:w="538"/>
        <w:gridCol w:w="1705"/>
        <w:gridCol w:w="1657"/>
        <w:gridCol w:w="1661"/>
        <w:gridCol w:w="1022"/>
        <w:gridCol w:w="1022"/>
        <w:gridCol w:w="1455"/>
      </w:tblGrid>
      <w:tr>
        <w:trPr/>
        <w:tc>
          <w:tcPr>
            <w:tcW w:w="6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Performance</w:t>
              <w:br/>
              <w:t>Objective</w:t>
            </w:r>
          </w:p>
        </w:tc>
        <w:tc>
          <w:tcPr>
            <w:tcW w:w="50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Explanation</w:t>
            </w:r>
          </w:p>
        </w:tc>
        <w:tc>
          <w:tcPr>
            <w:tcW w:w="3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Reason for Use as a</w:t>
              <w:br/>
              <w:t>Performance Measure</w:t>
            </w:r>
          </w:p>
        </w:tc>
      </w:tr>
      <w:tr>
        <w:trPr/>
        <w:tc>
          <w:tcPr>
            <w:tcW w:w="1683"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Organic sales growth</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(excluding Argentina)</w:t>
            </w:r>
          </w:p>
        </w:tc>
        <w:tc>
          <w:tcPr>
            <w:tcW w:w="5023"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A non-GAAP financial measure consisting of sales growth generated from within the company and excluding the impact of currency changes, business exits, and acquisition/divestiture activity.</w:t>
            </w:r>
          </w:p>
        </w:tc>
        <w:tc>
          <w:tcPr>
            <w:tcW w:w="3499"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0046C8"/>
              </w:rPr>
              <w:t>•</w:t>
            </w:r>
            <w:r>
              <w:rPr>
                <w:rFonts w:ascii="Lato;sans-serif" w:hAnsi="Lato;sans-serif"/>
                <w:b w:val="false"/>
                <w:color w:val="000000"/>
                <w:sz w:val="19"/>
              </w:rPr>
              <w:t>A key indicator of our overall growth.</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Encompasses streams of revenues that are a direct result of existing operations.</w:t>
            </w:r>
          </w:p>
          <w:p>
            <w:pPr>
              <w:pStyle w:val="TableContents"/>
              <w:bidi w:val="0"/>
              <w:spacing w:lineRule="auto" w:line="312" w:before="80" w:after="80"/>
              <w:ind w:left="0" w:right="0" w:hanging="216"/>
              <w:jc w:val="left"/>
              <w:rPr/>
            </w:pPr>
            <w:r>
              <w:rPr>
                <w:color w:val="0046C8"/>
              </w:rPr>
              <w:t>•</w:t>
            </w:r>
            <w:r>
              <w:rPr>
                <w:rFonts w:ascii="Lato;sans-serif" w:hAnsi="Lato;sans-serif"/>
                <w:b w:val="false"/>
                <w:color w:val="000000"/>
                <w:sz w:val="19"/>
              </w:rPr>
              <w:t>Excludes the impact of currency changes, which are difficult to predict, and outside of management’s control.</w:t>
            </w:r>
          </w:p>
          <w:p>
            <w:pPr>
              <w:pStyle w:val="TableContents"/>
              <w:bidi w:val="0"/>
              <w:spacing w:lineRule="auto" w:line="312" w:before="80" w:after="283"/>
              <w:ind w:left="0" w:right="0" w:hanging="216"/>
              <w:jc w:val="left"/>
              <w:rPr/>
            </w:pPr>
            <w:r>
              <w:rPr>
                <w:color w:val="0046C8"/>
              </w:rPr>
              <w:t>•</w:t>
            </w:r>
            <w:r>
              <w:rPr>
                <w:rFonts w:ascii="Lato;sans-serif" w:hAnsi="Lato;sans-serif"/>
                <w:b w:val="false"/>
                <w:color w:val="000000"/>
                <w:sz w:val="19"/>
              </w:rPr>
              <w:t>Excludes our operations in Argentina due to highly inflationary environment.</w:t>
            </w:r>
          </w:p>
        </w:tc>
      </w:tr>
      <w:tr>
        <w:trPr/>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Modified free cash</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flow (MFCF)</w:t>
            </w:r>
          </w:p>
        </w:tc>
        <w:tc>
          <w:tcPr>
            <w:tcW w:w="5023"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A non-GAAP financial measure consisting of cash produced through operations, minus outlays of cash for capital expenditures.</w:t>
            </w:r>
          </w:p>
          <w:p>
            <w:pPr>
              <w:pStyle w:val="TableContents"/>
              <w:bidi w:val="0"/>
              <w:spacing w:lineRule="auto" w:line="312" w:before="120" w:after="283"/>
              <w:jc w:val="left"/>
              <w:rPr>
                <w:rFonts w:ascii="Lato;sans-serif" w:hAnsi="Lato;sans-serif"/>
                <w:b w:val="false"/>
                <w:color w:val="000000"/>
                <w:sz w:val="19"/>
              </w:rPr>
            </w:pPr>
            <w:r>
              <w:rPr>
                <w:rFonts w:ascii="Lato;sans-serif" w:hAnsi="Lato;sans-serif"/>
                <w:b w:val="false"/>
                <w:color w:val="000000"/>
                <w:sz w:val="19"/>
              </w:rPr>
              <w:t>Free cash flow may be modified for externally disclosed unusual items and/or material unplanned business events.</w:t>
            </w:r>
          </w:p>
        </w:tc>
        <w:tc>
          <w:tcPr>
            <w:tcW w:w="34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MFCF is tied to value creation and supports longer-term strategies and investor expectations.</w:t>
            </w:r>
          </w:p>
        </w:tc>
      </w:tr>
      <w:tr>
        <w:trPr/>
        <w:tc>
          <w:tcPr>
            <w:tcW w:w="1683"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99"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actual number of shares our named executive officers will receive will range from zero to 200 percent of the target levels established by the Committee for each executive, depending on the degree to which the performance objectives are met.</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Payout of 2022 - 2024 Performance-Based Restricted Share Units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February 2025, the Committee evaluated the results of the three-year performance period for the performance-based restricted share units that were granted in 2022. The performance objectives for these 2022 awards were based on average annual organic sales growth and cumulative modified free cash flow for the period January 1, 2022 through December 31, 2024, each weighted equally.</w:t>
      </w:r>
    </w:p>
    <w:tbl>
      <w:tblPr>
        <w:tblW w:w="10205" w:type="dxa"/>
        <w:jc w:val="left"/>
        <w:tblInd w:w="0" w:type="dxa"/>
        <w:tblLayout w:type="fixed"/>
        <w:tblCellMar>
          <w:top w:w="28" w:type="dxa"/>
          <w:left w:w="28" w:type="dxa"/>
          <w:bottom w:w="28" w:type="dxa"/>
          <w:right w:w="28" w:type="dxa"/>
        </w:tblCellMar>
      </w:tblPr>
      <w:tblGrid>
        <w:gridCol w:w="1482"/>
        <w:gridCol w:w="1276"/>
        <w:gridCol w:w="1281"/>
        <w:gridCol w:w="233"/>
        <w:gridCol w:w="233"/>
        <w:gridCol w:w="299"/>
        <w:gridCol w:w="113"/>
        <w:gridCol w:w="113"/>
        <w:gridCol w:w="113"/>
        <w:gridCol w:w="263"/>
        <w:gridCol w:w="263"/>
        <w:gridCol w:w="299"/>
        <w:gridCol w:w="113"/>
        <w:gridCol w:w="113"/>
        <w:gridCol w:w="113"/>
        <w:gridCol w:w="263"/>
        <w:gridCol w:w="263"/>
        <w:gridCol w:w="299"/>
        <w:gridCol w:w="204"/>
        <w:gridCol w:w="204"/>
        <w:gridCol w:w="204"/>
        <w:gridCol w:w="233"/>
        <w:gridCol w:w="233"/>
        <w:gridCol w:w="511"/>
        <w:gridCol w:w="308"/>
        <w:gridCol w:w="291"/>
        <w:gridCol w:w="885"/>
      </w:tblGrid>
      <w:tr>
        <w:trPr/>
        <w:tc>
          <w:tcPr>
            <w:tcW w:w="148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Goals (Each weighted 50%)</w:t>
            </w:r>
          </w:p>
        </w:tc>
        <w:tc>
          <w:tcPr>
            <w:tcW w:w="309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Performance Levels</w:t>
            </w:r>
          </w:p>
        </w:tc>
        <w:tc>
          <w:tcPr>
            <w:tcW w:w="1589"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Actual</w:t>
              <w:br/>
              <w:t>Performance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Actual</w:t>
              <w:br/>
              <w:t>Payout Level</w:t>
            </w:r>
          </w:p>
        </w:tc>
      </w:tr>
      <w:tr>
        <w:trPr/>
        <w:tc>
          <w:tcPr>
            <w:tcW w:w="403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Average annual organic sales growth</w:t>
            </w:r>
          </w:p>
        </w:tc>
        <w:tc>
          <w:tcPr>
            <w:tcW w:w="46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1.0 </w:t>
            </w:r>
          </w:p>
        </w:tc>
        <w:tc>
          <w:tcPr>
            <w:tcW w:w="299"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339"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3.0 </w:t>
            </w:r>
          </w:p>
        </w:tc>
        <w:tc>
          <w:tcPr>
            <w:tcW w:w="299"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339"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5.0 </w:t>
            </w:r>
          </w:p>
        </w:tc>
        <w:tc>
          <w:tcPr>
            <w:tcW w:w="299"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612"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5.0 </w:t>
            </w:r>
          </w:p>
        </w:tc>
        <w:tc>
          <w:tcPr>
            <w:tcW w:w="511"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599"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200 </w:t>
            </w:r>
          </w:p>
        </w:tc>
        <w:tc>
          <w:tcPr>
            <w:tcW w:w="885"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r>
      <w:tr>
        <w:trPr/>
        <w:tc>
          <w:tcPr>
            <w:tcW w:w="40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Cumulative modified free cash flow (billions)*</w:t>
            </w:r>
          </w:p>
        </w:tc>
        <w:tc>
          <w:tcPr>
            <w:tcW w:w="76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$4.0</w:t>
            </w:r>
          </w:p>
        </w:tc>
        <w:tc>
          <w:tcPr>
            <w:tcW w:w="33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w:t>
            </w:r>
          </w:p>
        </w:tc>
        <w:tc>
          <w:tcPr>
            <w:tcW w:w="33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$6.0</w:t>
            </w:r>
          </w:p>
        </w:tc>
        <w:tc>
          <w:tcPr>
            <w:tcW w:w="61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$7.4</w:t>
            </w:r>
          </w:p>
        </w:tc>
        <w:tc>
          <w:tcPr>
            <w:tcW w:w="599"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200 </w:t>
            </w:r>
          </w:p>
        </w:tc>
        <w:tc>
          <w:tcPr>
            <w:tcW w:w="885" w:type="dxa"/>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r>
      <w:tr>
        <w:trPr/>
        <w:tc>
          <w:tcPr>
            <w:tcW w:w="403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Potential Payout (as a percentage of target)</w:t>
            </w:r>
          </w:p>
        </w:tc>
        <w:tc>
          <w:tcPr>
            <w:tcW w:w="46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0</w:t>
            </w:r>
            <w:r>
              <w:rPr>
                <w:color w:val="000000"/>
              </w:rPr>
              <w:t> </w:t>
            </w:r>
          </w:p>
        </w:tc>
        <w:tc>
          <w:tcPr>
            <w:tcW w:w="299"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w:t>
            </w:r>
          </w:p>
        </w:tc>
        <w:tc>
          <w:tcPr>
            <w:tcW w:w="339"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100</w:t>
            </w:r>
            <w:r>
              <w:rPr>
                <w:color w:val="000000"/>
              </w:rPr>
              <w:t> </w:t>
            </w:r>
          </w:p>
        </w:tc>
        <w:tc>
          <w:tcPr>
            <w:tcW w:w="299"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w:t>
            </w:r>
          </w:p>
        </w:tc>
        <w:tc>
          <w:tcPr>
            <w:tcW w:w="339"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200</w:t>
            </w:r>
            <w:r>
              <w:rPr>
                <w:color w:val="000000"/>
              </w:rPr>
              <w:t> </w:t>
            </w:r>
          </w:p>
        </w:tc>
        <w:tc>
          <w:tcPr>
            <w:tcW w:w="299"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w:t>
            </w:r>
          </w:p>
        </w:tc>
        <w:tc>
          <w:tcPr>
            <w:tcW w:w="612"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200</w:t>
            </w:r>
            <w:r>
              <w:rPr>
                <w:color w:val="000000"/>
              </w:rPr>
              <w:t> </w:t>
            </w:r>
          </w:p>
        </w:tc>
        <w:tc>
          <w:tcPr>
            <w:tcW w:w="885"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 Bold;sans-serif" w:hAnsi="Lato Bold;sans-serif"/>
                <w:b/>
                <w:color w:val="000000"/>
                <w:sz w:val="18"/>
              </w:rPr>
            </w:pPr>
            <w:r>
              <w:rPr>
                <w:rFonts w:ascii="Lato Bold;sans-serif" w:hAnsi="Lato Bold;sans-serif"/>
                <w:b/>
                <w:color w:val="000000"/>
                <w:sz w:val="18"/>
              </w:rPr>
              <w:t>%</w:t>
            </w:r>
          </w:p>
        </w:tc>
      </w:tr>
    </w:tbl>
    <w:p>
      <w:pPr>
        <w:pStyle w:val="TextBody"/>
        <w:bidi w:val="0"/>
        <w:spacing w:lineRule="auto" w:line="312" w:before="0" w:after="0"/>
        <w:ind w:left="0" w:right="0" w:hanging="216"/>
        <w:jc w:val="left"/>
        <w:rPr>
          <w:rFonts w:ascii="Lato;sans-serif" w:hAnsi="Lato;sans-serif"/>
          <w:b w:val="false"/>
          <w:color w:val="000000"/>
          <w:sz w:val="16"/>
        </w:rPr>
      </w:pPr>
      <w:r>
        <w:rPr>
          <w:rFonts w:ascii="Lato;sans-serif" w:hAnsi="Lato;sans-serif"/>
          <w:b w:val="false"/>
          <w:color w:val="000000"/>
          <w:sz w:val="16"/>
        </w:rPr>
        <w:t>*    For purposes of calculating modified free cash flow a/k/a adjusted free cash flow, a non-GAAP financial measure, the Committee excluded the impact of charges and payments related to our 2018 Global Restructuring Program and 2024 Transformation Initiative. For more information, see Appendix A for the reconciliation of adjusted free cash flow.</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Based on this review, the Committee determined that we exceeded our performance goals for both organic sales growth and modified free cash flow. As a result, the payout percentage for the share units was 200 percent of target.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629920"/>
                <wp:effectExtent l="0" t="0" r="0" b="0"/>
                <wp:wrapNone/>
                <wp:docPr id="288" name="Frame6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63</w:t>
                            </w:r>
                          </w:p>
                        </w:tc>
                      </w:tr>
                    </w:tbl>
                    <w:p>
                      <w:pPr>
                        <w:pStyle w:val="TextBody"/>
                        <w:bidi w:val="0"/>
                        <w:spacing w:before="0" w:after="283"/>
                        <w:jc w:val="left"/>
                        <w:rPr/>
                      </w:pPr>
                      <w:r>
                        <w:rPr/>
                      </w:r>
                    </w:p>
                  </w:txbxContent>
                </v:textbox>
                <w10:wrap type="none"/>
              </v:rect>
            </w:pict>
          </mc:Fallback>
        </mc:AlternateContent>
      </w:r>
    </w:p>
    <w:tbl>
      <w:tblPr>
        <w:tblW w:w="3476" w:type="dxa"/>
        <w:jc w:val="left"/>
        <w:tblInd w:w="0" w:type="dxa"/>
        <w:tblLayout w:type="fixed"/>
        <w:tblCellMar>
          <w:top w:w="28" w:type="dxa"/>
          <w:left w:w="28" w:type="dxa"/>
          <w:bottom w:w="28" w:type="dxa"/>
          <w:right w:w="28" w:type="dxa"/>
        </w:tblCellMar>
      </w:tblPr>
      <w:tblGrid>
        <w:gridCol w:w="1059"/>
        <w:gridCol w:w="932"/>
        <w:gridCol w:w="934"/>
        <w:gridCol w:w="161"/>
        <w:gridCol w:w="161"/>
        <w:gridCol w:w="22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4"/>
              </w:rPr>
            </w:pPr>
            <w:r>
              <w:rPr>
                <w:rFonts w:ascii="Lato Bold;sans-serif" w:hAnsi="Lato Bold;sans-serif"/>
                <w:b/>
                <w:color w:val="000000"/>
                <w:sz w:val="14"/>
              </w:rPr>
              <w:t>Compensation discussion and analysis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89"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20" descr=""/>
                          <pic:cNvPicPr>
                            <a:picLocks noChangeAspect="1" noChangeArrowheads="1"/>
                          </pic:cNvPicPr>
                        </pic:nvPicPr>
                        <pic:blipFill>
                          <a:blip r:embed="rId221"/>
                          <a:stretch>
                            <a:fillRect/>
                          </a:stretch>
                        </pic:blipFill>
                        <pic:spPr bwMode="auto">
                          <a:xfrm>
                            <a:off x="0" y="0"/>
                            <a:ext cx="228600" cy="180975"/>
                          </a:xfrm>
                          <a:prstGeom prst="rect">
                            <a:avLst/>
                          </a:prstGeom>
                        </pic:spPr>
                      </pic:pic>
                    </a:graphicData>
                  </a:graphic>
                </wp:inline>
              </w:drawing>
            </w:r>
            <w:r>
              <w:rPr>
                <w:color w:val="000000"/>
              </w:rPr>
              <w:t> </w:t>
            </w:r>
          </w:p>
        </w:tc>
      </w:tr>
      <w:tr>
        <w:trPr/>
        <w:tc>
          <w:tcPr>
            <w:tcW w:w="29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shares underlying these performance-based restricted share unit awards were distributed to Mr. Hsu, Mr. Melucci, and Mr. Torres on February 28, 2025 and will be distributed to Mr. Urdaneta and Mr. Hicks (who joined the company in 2022) on April 26, 2025 and July 29, 2025, respectively.</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Vesting Levels of Outstanding Performance-Based Restricted Share Unit Awards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As of February 12, 2025, the performance-based restricted share units granted in 2024 and 2023 were on pace to vest at the following levels: 105 percent for the 2024 award and 160 percent for the 2023 award.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 xml:space="preserve">Benefits and Other Compensation </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Retirement Benefits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named executive officers receive company contributions under the Kimberly-Clark Corporation 401(k) and Profit Sharing Plan (the “401(k) Profit Sharing Plan”) and the Kimberly-Clark Corporation Supplemental Retirement 401(k) and Profit Sharing Plan (the “Supplemental 401(k) Plan”). The value of these plans is consistent with those maintained by our peer group companies and is therefore necessary to remain competitive with them for recruiting and retaining executive talent. The Committee believes that these retirement benefits are important parts of our compensation program. For more information, see “Nonqualified Deferred Compensation – Overview of 401(k) Profit Sharing Plan and Supplemental 401(k) Plan.”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Executives are eligible to participate in our Voluntary Deferred Compensation Plan ("VDCP") under which they may defer up to 50 percent of base salary and up to 90 percent of annual performance bonus into a deferred compensation account with investment choices that are a subset of those available under the 401(k) Profit Sharing Plan. No above-market or preferential interest is credited on deferred compensation, as those terms are defined by the SEC. There is no employer match or similar company contribution under the VDCP, but in connection with the adoption of the VDCP, the Supplemental 401(k) Plan was amended to provide for a restoration contribution based on compensation that is not recognized under the 401(k) Profit Sharing Plan as a result of it being deferred by an executive under the VDCP.</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Other Compensation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We provide only limited perquisites to our executive officers, consistent with our focus on more direct, performance-based compensation. Also, the Committee has eliminated tax reimbursement and related gross-ups for perquisites (including personal use of corporate aircraft), except for certain relocation benefits, further underscoring our focus on direct compensation.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Perquisites include personal financial planning services under our Executive Financial Counseling Program, an executive health screening program where executives may receive comprehensive physical examinations from an independent health care provider, and permitted personal use of corporate aircraft consistent with our policy. The personal financial planning program is designed to provide executives with access to knowledgeable financial advisors that understand our compensation and benefit plans and can assist our executives in efficiently and effectively managing their financial and tax planning issues. The executive health screening program provides executives with additional services that help maintain their overall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629920"/>
                <wp:effectExtent l="0" t="0" r="0" b="0"/>
                <wp:wrapNone/>
                <wp:docPr id="290" name="Frame7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64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64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475" w:type="dxa"/>
        <w:jc w:val="left"/>
        <w:tblInd w:w="0" w:type="dxa"/>
        <w:tblLayout w:type="fixed"/>
        <w:tblCellMar>
          <w:top w:w="28" w:type="dxa"/>
          <w:left w:w="28" w:type="dxa"/>
          <w:bottom w:w="28" w:type="dxa"/>
          <w:right w:w="28" w:type="dxa"/>
        </w:tblCellMar>
      </w:tblPr>
      <w:tblGrid>
        <w:gridCol w:w="188"/>
        <w:gridCol w:w="166"/>
        <w:gridCol w:w="167"/>
        <w:gridCol w:w="863"/>
        <w:gridCol w:w="863"/>
        <w:gridCol w:w="122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9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21" descr=""/>
                          <pic:cNvPicPr>
                            <a:picLocks noChangeAspect="1" noChangeArrowheads="1"/>
                          </pic:cNvPicPr>
                        </pic:nvPicPr>
                        <pic:blipFill>
                          <a:blip r:embed="rId222"/>
                          <a:stretch>
                            <a:fillRect/>
                          </a:stretch>
                        </pic:blipFill>
                        <pic:spPr bwMode="auto">
                          <a:xfrm>
                            <a:off x="0" y="0"/>
                            <a:ext cx="228600" cy="180975"/>
                          </a:xfrm>
                          <a:prstGeom prst="rect">
                            <a:avLst/>
                          </a:prstGeom>
                        </pic:spPr>
                      </pic:pic>
                    </a:graphicData>
                  </a:graphic>
                </wp:inline>
              </w:drawing>
            </w: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discussion and analysis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CEO may use our corporate aircraft for limited personal travel consistent with our executive security program, and security services are provided for our CEO at all times, including at his offices, other company locations, and his residences. The Board considers these security arrangements to be appropriate and reasonable in light of the security risks identified in an independent security assessment. In addition, if a corporate aircraft is already scheduled for business purposes and can accommodate additional passengers, executive officers and their guests may, under certain circumstances, join flights for personal travel. The incremental cost to us of providing security services at Mr. Hsu’s residences and personal travel for Mr. Hsu and his guests on our corporate aircraft is included in “All Other Compensation” in the Summary Compensation Table.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We provide our executive officers with long-term disability coverage in excess of the limit provided under our group long-term disability plan. The maximum monthly disability benefit under the combined executive long-term disability plan and the group long-term disability plan is 70 percent of eligible compensation (base salary and certain bonuses) up to a maximum of $40,000 per month.</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Post-Termination Benefits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We maintain two severance programs that cover our executive officers: the Severance Pay Plan and the Executive Severance Program. An executive officer may not receive severance payments under more than one severance program. Benefits under these programs are payable only if the executive’s employment terminates under the conditions specified in the applicable program. We believe that our severance programs are consistent with those maintained by our peer group companies and that they are therefore important for attracting and retaining executives who are critical to our long-term success and competitiveness. For more information about these severance programs and their terms, see “Potential Payments on Termination or Change of Control – Severance Benefits.”</w:t>
      </w:r>
    </w:p>
    <w:p>
      <w:pPr>
        <w:pStyle w:val="TextBody"/>
        <w:bidi w:val="0"/>
        <w:spacing w:lineRule="auto" w:line="312" w:before="120" w:after="120"/>
        <w:jc w:val="left"/>
        <w:rPr/>
      </w:pPr>
      <w:r>
        <w:rPr>
          <w:rFonts w:ascii="Lato Bold;sans-serif" w:hAnsi="Lato Bold;sans-serif"/>
          <w:b/>
          <w:color w:val="000000"/>
          <w:sz w:val="19"/>
        </w:rPr>
        <w:t xml:space="preserve">Severance Pay Plan. </w:t>
      </w:r>
      <w:r>
        <w:rPr>
          <w:rFonts w:ascii="Lato;sans-serif" w:hAnsi="Lato;sans-serif"/>
          <w:b w:val="false"/>
          <w:color w:val="000000"/>
          <w:sz w:val="19"/>
        </w:rPr>
        <w:t xml:space="preserve">Our Severance Pay Plan provides severance benefits to most of our U.S. hourly and salaried employees, including our named executive officers, who are involuntarily terminated under the circumstances described in the plan. The objective of this plan is to facilitate the employee’s transition to his or her next position, and it is not intended to serve as a reward for the employee’s past service. </w:t>
      </w:r>
    </w:p>
    <w:p>
      <w:pPr>
        <w:pStyle w:val="TextBody"/>
        <w:bidi w:val="0"/>
        <w:spacing w:lineRule="auto" w:line="312" w:before="120" w:after="120"/>
        <w:jc w:val="left"/>
        <w:rPr/>
      </w:pPr>
      <w:r>
        <w:rPr>
          <w:rFonts w:ascii="Lato Bold;sans-serif" w:hAnsi="Lato Bold;sans-serif"/>
          <w:b/>
          <w:color w:val="000000"/>
          <w:sz w:val="19"/>
        </w:rPr>
        <w:t xml:space="preserve">Executive Severance Program. </w:t>
      </w:r>
      <w:r>
        <w:rPr>
          <w:rFonts w:ascii="Lato;sans-serif" w:hAnsi="Lato;sans-serif"/>
          <w:b w:val="false"/>
          <w:color w:val="000000"/>
          <w:sz w:val="19"/>
        </w:rPr>
        <w:t>Our Executive Severance Program provides severance benefits to eligible employees, including our named executive officers, in the event of a qualified termination of employment (as defined in the participant agreements) in connection with a change of control. For an eligible employee to receive a payment under this program, two events must occur: there must be a change of control of Kimberly-Clark, and the employee must have been involuntarily terminated without cause or have resigned for good reason (as defined in the participant agreements) within two years of the change of control (often referred to as a “double trigger”).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629920"/>
                <wp:effectExtent l="0" t="0" r="0" b="0"/>
                <wp:wrapNone/>
                <wp:docPr id="292" name="Frame7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65</w:t>
                            </w:r>
                          </w:p>
                        </w:tc>
                      </w:tr>
                    </w:tbl>
                    <w:p>
                      <w:pPr>
                        <w:pStyle w:val="TextBody"/>
                        <w:bidi w:val="0"/>
                        <w:spacing w:before="0" w:after="283"/>
                        <w:jc w:val="left"/>
                        <w:rPr/>
                      </w:pPr>
                      <w:r>
                        <w:rPr/>
                      </w:r>
                    </w:p>
                  </w:txbxContent>
                </v:textbox>
                <w10:wrap type="none"/>
              </v:rect>
            </w:pict>
          </mc:Fallback>
        </mc:AlternateContent>
      </w:r>
    </w:p>
    <w:tbl>
      <w:tblPr>
        <w:tblW w:w="3476" w:type="dxa"/>
        <w:jc w:val="left"/>
        <w:tblInd w:w="0" w:type="dxa"/>
        <w:tblLayout w:type="fixed"/>
        <w:tblCellMar>
          <w:top w:w="28" w:type="dxa"/>
          <w:left w:w="28" w:type="dxa"/>
          <w:bottom w:w="28" w:type="dxa"/>
          <w:right w:w="28" w:type="dxa"/>
        </w:tblCellMar>
      </w:tblPr>
      <w:tblGrid>
        <w:gridCol w:w="1059"/>
        <w:gridCol w:w="932"/>
        <w:gridCol w:w="934"/>
        <w:gridCol w:w="161"/>
        <w:gridCol w:w="161"/>
        <w:gridCol w:w="22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4"/>
              </w:rPr>
            </w:pPr>
            <w:r>
              <w:rPr>
                <w:rFonts w:ascii="Lato Bold;sans-serif" w:hAnsi="Lato Bold;sans-serif"/>
                <w:b/>
                <w:color w:val="000000"/>
                <w:sz w:val="14"/>
              </w:rPr>
              <w:t>Compensation discussion and analysis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93"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22" descr=""/>
                          <pic:cNvPicPr>
                            <a:picLocks noChangeAspect="1" noChangeArrowheads="1"/>
                          </pic:cNvPicPr>
                        </pic:nvPicPr>
                        <pic:blipFill>
                          <a:blip r:embed="rId223"/>
                          <a:stretch>
                            <a:fillRect/>
                          </a:stretch>
                        </pic:blipFill>
                        <pic:spPr bwMode="auto">
                          <a:xfrm>
                            <a:off x="0" y="0"/>
                            <a:ext cx="228600" cy="180975"/>
                          </a:xfrm>
                          <a:prstGeom prst="rect">
                            <a:avLst/>
                          </a:prstGeom>
                        </pic:spPr>
                      </pic:pic>
                    </a:graphicData>
                  </a:graphic>
                </wp:inline>
              </w:drawing>
            </w:r>
            <w:r>
              <w:rPr>
                <w:color w:val="000000"/>
              </w:rPr>
              <w:t> </w:t>
            </w:r>
          </w:p>
        </w:tc>
      </w:tr>
      <w:tr>
        <w:trPr/>
        <w:tc>
          <w:tcPr>
            <w:tcW w:w="29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Additional Information about Our Compensation Practices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As a matter of sound governance, we follow certain practices with respect to our compensation program. We regularly review and evaluate our compensation practices in light of regulatory developments, market standards and other considerations.</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Use of Independent Compensation Consultant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As previously discussed, the Committee engaged Semler Brossy Consulting Group as its independent consultant to assist it in determining the appropriate executive officer compensation in 2024 under our compensation policies described above. Consistent with the Committee’s policy in which its independent consultant may provide services only to the Committee, Semler Brossy had no other business relationship with Kimberly-Clark and received no payments from us other than fees and expenses for services to the Committee. See “Corporate Governance - Management Development and Compensation Committee” for information about the use of compensation consultants.</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Adjustment of Financial Measures for Annual and Long-Term Equity Incentives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Financial measures for the annual and long-term equity incentive programs are developed based on expectations about our planned activities and reasonable assumptions about the performance of our key business drivers for the applicable period. From time to time, however, discrete items or events may arise that were not contemplated by these plans or assumptions. These could include accounting and tax law changes, tax credits or charges from items not within the ordinary course of our business operations, charges relating to currency exchange rate changes, restructuring and write-off charges, significant acquisitions or dispositions, and significant gains or losses from litigation settlements.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Under the Committee’s exception guidelines regarding our annual and long-term equity incentive program measures, the Committee has adjusted in the past, and may adjust in the future, the calculation of financial measures for these incentive programs to eliminate the effect of the types of items or events described above. In making these adjustments, the Committee’s policy is to seek to neutralize the impact of the unexpected or unplanned items or events, whether positive or negative, in order to provide consistent and equitable incentive payments that the Committee believes are reflective of our performance. In considering whether to make a particular adjustment under its guidelines, the Committee will review whether the item or event was one for which management was responsible and accountable, treatment of similar items in prior periods, the extent of the item’s or event’s impact on the financial measure, and the item’s or event’s characteristics relative to normal and customary business practices. Generally, the Committee will apply an adjustment to all compensation that is subject to that financial measure.</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Timing of Equity Grants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The Committee’s current practice is to approve annual equity grants to our elected officers, including our executive officers, at a meeting of the Committee that is scheduled at least one year in advance, with the grants becoming effective on May 1. (Prior to 2025, annual grants became effective on the date of that Committee meeting.) If a scheduled grant date were to occur during the period beginning on the first day of the final month of a calendar quarter and ending on the date of our earnings release, the equity grants would not be effective until the first business day following the earnings release. Our executives are not permitted to choose the grant date for their individual equity grants.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2024, equity awards to our elected officers were comprised of performance-based and time-vested restricted share units and we did not grant stock options. However, our policies and the terms of the 2021 Plan require stock options to be granted at no less than the closing price of our common stock on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629920"/>
                <wp:effectExtent l="0" t="0" r="0" b="0"/>
                <wp:wrapNone/>
                <wp:docPr id="294" name="Frame7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66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66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475" w:type="dxa"/>
        <w:jc w:val="left"/>
        <w:tblInd w:w="0" w:type="dxa"/>
        <w:tblLayout w:type="fixed"/>
        <w:tblCellMar>
          <w:top w:w="28" w:type="dxa"/>
          <w:left w:w="28" w:type="dxa"/>
          <w:bottom w:w="28" w:type="dxa"/>
          <w:right w:w="28" w:type="dxa"/>
        </w:tblCellMar>
      </w:tblPr>
      <w:tblGrid>
        <w:gridCol w:w="188"/>
        <w:gridCol w:w="166"/>
        <w:gridCol w:w="167"/>
        <w:gridCol w:w="863"/>
        <w:gridCol w:w="863"/>
        <w:gridCol w:w="122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95"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23" descr=""/>
                          <pic:cNvPicPr>
                            <a:picLocks noChangeAspect="1" noChangeArrowheads="1"/>
                          </pic:cNvPicPr>
                        </pic:nvPicPr>
                        <pic:blipFill>
                          <a:blip r:embed="rId224"/>
                          <a:stretch>
                            <a:fillRect/>
                          </a:stretch>
                        </pic:blipFill>
                        <pic:spPr bwMode="auto">
                          <a:xfrm>
                            <a:off x="0" y="0"/>
                            <a:ext cx="228600" cy="180975"/>
                          </a:xfrm>
                          <a:prstGeom prst="rect">
                            <a:avLst/>
                          </a:prstGeom>
                        </pic:spPr>
                      </pic:pic>
                    </a:graphicData>
                  </a:graphic>
                </wp:inline>
              </w:drawing>
            </w: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discussion and analysis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CEO has been delegated the authority to approve equity grants to employees who are not elected officers of Kimberly-Clark. These grants include scheduled annual grants and recruiting and special employee recognition and retention grants. The CEO is not permitted to make any grants to any of our elected officers, including our executive officers.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Recruiting, special recognition, and retention equity awards are made on pre-determined dates following our quarterly earnings releases.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We do not schedule our equity grants in anticipation of the release of material, non-public information (MNPI), nor do we time the release of MNPI based upon grant dates of equity. The Committee also does not take MNPI into account when determining the timing and terms of equity award grants. In the event MNPI becomes known to the Committee prior to granting an equity award, the Committee will take the existence of such information into consideration and use its business judgment to determine whether to delay the grant of equity to avoid any impropriety.</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Compensation Clawback Policy</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Committee has adopted two clawback policies which apply to executive officers, the Kimberly-Clark Corporation Compensation Recoupment Policy and the Executive Officer Incentive Compensation Recovery Policy. Each policy is in addition to any recovery rights provided under applicable law.</w:t>
      </w:r>
    </w:p>
    <w:p>
      <w:pPr>
        <w:pStyle w:val="TextBody"/>
        <w:bidi w:val="0"/>
        <w:spacing w:lineRule="auto" w:line="312" w:before="120" w:after="120"/>
        <w:jc w:val="left"/>
        <w:rPr/>
      </w:pPr>
      <w:r>
        <w:rPr>
          <w:rFonts w:ascii="Lato Bold;sans-serif" w:hAnsi="Lato Bold;sans-serif"/>
          <w:b/>
          <w:color w:val="000000"/>
          <w:sz w:val="19"/>
        </w:rPr>
        <w:t xml:space="preserve">Kimberly-Clark Corporation Compensation Recoupment Policy. </w:t>
      </w:r>
      <w:r>
        <w:rPr>
          <w:rFonts w:ascii="Lato;sans-serif" w:hAnsi="Lato;sans-serif"/>
          <w:b w:val="false"/>
          <w:color w:val="000000"/>
          <w:sz w:val="19"/>
        </w:rPr>
        <w:t>Under this policy, the Committee may cancel outstanding awards of cash bonus or other incentive-based or equity-based compensation or seek recoupment of previous awards provided to an executive officer or other designated officer if:</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we are required to make a material restatement of our financial statements, whether or not the result of misconduct, or</w:t>
      </w:r>
    </w:p>
    <w:p>
      <w:pPr>
        <w:pStyle w:val="TextBody"/>
        <w:bidi w:val="0"/>
        <w:spacing w:lineRule="auto" w:line="312" w:before="80" w:after="120"/>
        <w:ind w:left="0" w:right="0" w:hanging="216"/>
        <w:jc w:val="left"/>
        <w:rPr/>
      </w:pPr>
      <w:r>
        <w:rPr>
          <w:color w:val="0046C8"/>
        </w:rPr>
        <w:t>•</w:t>
      </w:r>
      <w:r>
        <w:rPr>
          <w:rFonts w:ascii="Lato;sans-serif" w:hAnsi="Lato;sans-serif"/>
          <w:b w:val="false"/>
          <w:color w:val="000000"/>
          <w:sz w:val="19"/>
        </w:rPr>
        <w:t>the executive officer engaged in fraud, gross negligence or willful misconduct, or committed a significant violation of our Code of Conduct, company policy, law or regulation that has caused or might reasonably be expected to cause significant reputational or financial harm to the company.</w:t>
      </w:r>
    </w:p>
    <w:p>
      <w:pPr>
        <w:pStyle w:val="TextBody"/>
        <w:bidi w:val="0"/>
        <w:spacing w:lineRule="auto" w:line="312" w:before="120" w:after="120"/>
        <w:jc w:val="left"/>
        <w:rPr/>
      </w:pPr>
      <w:r>
        <w:rPr>
          <w:rFonts w:ascii="Lato Bold;sans-serif" w:hAnsi="Lato Bold;sans-serif"/>
          <w:b/>
          <w:color w:val="000000"/>
          <w:sz w:val="19"/>
        </w:rPr>
        <w:t>Executive Officer Incentive Compensation Recovery Policy.</w:t>
      </w:r>
      <w:r>
        <w:rPr>
          <w:color w:val="000000"/>
        </w:rPr>
        <w:t xml:space="preserve"> </w:t>
      </w:r>
      <w:r>
        <w:rPr>
          <w:rFonts w:ascii="Lato;sans-serif" w:hAnsi="Lato;sans-serif"/>
          <w:b w:val="false"/>
          <w:color w:val="000000"/>
          <w:sz w:val="19"/>
        </w:rPr>
        <w:t>Consistent with rules adopted by the SEC and NYSE, this policy applies to current and former executive officers and our Vice President and Controller (collectively, the “Section 16 Officers”). In the event that Kimberly-Clark is required to prepare an accounting restatement to correct an error that (1) is material to the previously issued financial statements or (2) would result in a material misstatement if the error were corrected in the current period or left uncorrected in the current period, the company will seek to recover erroneously awarded incentive compensation received by any current or former Section 16 Officer during the immediately preceding three fiscal years. This is a “no fault” policy, meaning that it may be triggered in the absence of fraud or willful misconduct by the executive. “Erroneously awarded incentive compensation” is the amount of compensation that is granted, earned, or vested based upon attainment of a financial reporting measure included in an accounting restatement above what would have been received had the financial statements in question been accurate.</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Stock Ownership Guidelines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We strongly believe that the financial interests of our executives should be aligned with those of our stockholders. Accordingly, the Committee has established stock ownership guidelines for our elected officers, including our named executive officers.</w:t>
      </w:r>
    </w:p>
    <w:p>
      <w:pPr>
        <w:pStyle w:val="TextBody"/>
        <w:bidi w:val="0"/>
        <w:spacing w:lineRule="auto" w:line="288" w:before="0" w:after="0"/>
        <w:jc w:val="left"/>
        <w:rPr>
          <w:rFonts w:ascii="Lato Bold;sans-serif" w:hAnsi="Lato Bold;sans-serif"/>
          <w:b/>
          <w:color w:val="000000"/>
          <w:sz w:val="22"/>
        </w:rPr>
      </w:pPr>
      <w:r>
        <w:rPr>
          <w:rFonts w:ascii="Lato Bold;sans-serif" w:hAnsi="Lato Bold;sans-serif"/>
          <w:b/>
          <w:color w:val="000000"/>
          <w:sz w:val="22"/>
        </w:rPr>
        <w:t>Target Stock Ownership Amounts</w:t>
      </w:r>
    </w:p>
    <w:tbl>
      <w:tblPr>
        <w:tblW w:w="5925" w:type="dxa"/>
        <w:jc w:val="left"/>
        <w:tblInd w:w="0" w:type="dxa"/>
        <w:tblLayout w:type="fixed"/>
        <w:tblCellMar>
          <w:top w:w="28" w:type="dxa"/>
          <w:left w:w="28" w:type="dxa"/>
          <w:bottom w:w="28" w:type="dxa"/>
          <w:right w:w="28" w:type="dxa"/>
        </w:tblCellMar>
      </w:tblPr>
      <w:tblGrid>
        <w:gridCol w:w="1075"/>
        <w:gridCol w:w="945"/>
        <w:gridCol w:w="950"/>
        <w:gridCol w:w="864"/>
        <w:gridCol w:w="864"/>
        <w:gridCol w:w="1227"/>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Position</w:t>
            </w:r>
          </w:p>
        </w:tc>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Ownership Level</w:t>
            </w:r>
          </w:p>
        </w:tc>
      </w:tr>
      <w:tr>
        <w:trPr/>
        <w:tc>
          <w:tcPr>
            <w:tcW w:w="2970"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Chief Executive Officer</w:t>
            </w:r>
          </w:p>
        </w:tc>
        <w:tc>
          <w:tcPr>
            <w:tcW w:w="2955"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Six times annual base salary</w:t>
            </w:r>
          </w:p>
        </w:tc>
      </w:tr>
      <w:tr>
        <w:trPr/>
        <w:tc>
          <w:tcPr>
            <w:tcW w:w="2970"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Other named executive officers</w:t>
            </w:r>
          </w:p>
        </w:tc>
        <w:tc>
          <w:tcPr>
            <w:tcW w:w="2955"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Three times annual base salary</w:t>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Failure to attain these targeted stock ownership levels within five years from date of hire for, or appointment to, an eligible position will result in a requirement to hold all post-tax shares received upon the vesting of long-term equity incentive awards until the levels are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629920"/>
                <wp:effectExtent l="0" t="0" r="0" b="0"/>
                <wp:wrapNone/>
                <wp:docPr id="296" name="Frame7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67</w:t>
                            </w:r>
                          </w:p>
                        </w:tc>
                      </w:tr>
                    </w:tbl>
                    <w:p>
                      <w:pPr>
                        <w:pStyle w:val="TextBody"/>
                        <w:bidi w:val="0"/>
                        <w:spacing w:before="0" w:after="283"/>
                        <w:jc w:val="left"/>
                        <w:rPr/>
                      </w:pPr>
                      <w:r>
                        <w:rPr/>
                      </w:r>
                    </w:p>
                  </w:txbxContent>
                </v:textbox>
                <w10:wrap type="none"/>
              </v:rect>
            </w:pict>
          </mc:Fallback>
        </mc:AlternateContent>
      </w:r>
    </w:p>
    <w:tbl>
      <w:tblPr>
        <w:tblW w:w="3476" w:type="dxa"/>
        <w:jc w:val="left"/>
        <w:tblInd w:w="0" w:type="dxa"/>
        <w:tblLayout w:type="fixed"/>
        <w:tblCellMar>
          <w:top w:w="28" w:type="dxa"/>
          <w:left w:w="28" w:type="dxa"/>
          <w:bottom w:w="28" w:type="dxa"/>
          <w:right w:w="28" w:type="dxa"/>
        </w:tblCellMar>
      </w:tblPr>
      <w:tblGrid>
        <w:gridCol w:w="1059"/>
        <w:gridCol w:w="932"/>
        <w:gridCol w:w="934"/>
        <w:gridCol w:w="161"/>
        <w:gridCol w:w="161"/>
        <w:gridCol w:w="22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4"/>
              </w:rPr>
            </w:pPr>
            <w:r>
              <w:rPr>
                <w:rFonts w:ascii="Lato Bold;sans-serif" w:hAnsi="Lato Bold;sans-serif"/>
                <w:b/>
                <w:color w:val="000000"/>
                <w:sz w:val="14"/>
              </w:rPr>
              <w:t>Compensation discussion and analysis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297"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24" descr=""/>
                          <pic:cNvPicPr>
                            <a:picLocks noChangeAspect="1" noChangeArrowheads="1"/>
                          </pic:cNvPicPr>
                        </pic:nvPicPr>
                        <pic:blipFill>
                          <a:blip r:embed="rId225"/>
                          <a:stretch>
                            <a:fillRect/>
                          </a:stretch>
                        </pic:blipFill>
                        <pic:spPr bwMode="auto">
                          <a:xfrm>
                            <a:off x="0" y="0"/>
                            <a:ext cx="228600" cy="180975"/>
                          </a:xfrm>
                          <a:prstGeom prst="rect">
                            <a:avLst/>
                          </a:prstGeom>
                        </pic:spPr>
                      </pic:pic>
                    </a:graphicData>
                  </a:graphic>
                </wp:inline>
              </w:drawing>
            </w:r>
            <w:r>
              <w:rPr>
                <w:color w:val="000000"/>
              </w:rPr>
              <w:t> </w:t>
            </w:r>
          </w:p>
        </w:tc>
      </w:tr>
      <w:tr>
        <w:trPr/>
        <w:tc>
          <w:tcPr>
            <w:tcW w:w="29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determining whether our stock ownership guidelines have been met, any time-vested restricted share units held are counted as owned, but performance-based restricted share units and stock options are excluded. Executive officer stock ownership levels were reviewed in 2024 for compliance with these guidelines. Based on our stock price as of the compliance date for this review, each of our named executive officers has met the applicable specified ownership level or is still within five years from date of hire or most recent promotion.</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Insider Trading Policy; Anti-Hedging and Pledging Policy</w:t>
      </w:r>
    </w:p>
    <w:p>
      <w:pPr>
        <w:pStyle w:val="TextBody"/>
        <w:bidi w:val="0"/>
        <w:spacing w:lineRule="auto" w:line="276" w:before="0" w:after="0"/>
        <w:jc w:val="left"/>
        <w:rPr>
          <w:rFonts w:ascii="Lato;sans-serif" w:hAnsi="Lato;sans-serif"/>
          <w:b w:val="false"/>
          <w:color w:val="000000"/>
          <w:sz w:val="19"/>
        </w:rPr>
      </w:pPr>
      <w:r>
        <w:rPr>
          <w:rFonts w:ascii="Lato;sans-serif" w:hAnsi="Lato;sans-serif"/>
          <w:b w:val="false"/>
          <w:color w:val="000000"/>
          <w:sz w:val="19"/>
        </w:rPr>
        <w:t>We have adopted an insider trading policy applicable to our officers, directors, employees, consultants, and certain persons and entities (collectively, “covered persons”) that we believe is reasonably designed to promote compliance with insider trading laws, rules, and regulations, and the exchange listing standards applicable to us. Among other things, our insider trading policy (1) prohibits trading by covered persons in our securities while aware of material, non-public information about the company except under pre-approved 10b5-1 trading plans or in the securities of other publicly traded companies while aware of material, non-public information about such companies gained in the course of working for the company, and misusing such information, such as by “tipping” material, non-public information or making unauthorized disclosure and (2) establishes our quarterly trading blackout periods (and who is subject to such blackouts), our pre-clearance procedures and requirements regarding pre-approved trading plans that meet the requirements of Rule 10b5-1 under the Securities Exchange Act of 1934. Our Insider Trading Policy was filed as Exhibit No. (19) to our Annual Report on Form 10-K for the fiscal year ended December 31, 2024.</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insider trading policy prohibits any director, executive officer, or any other officer or employee subject to its terms from entering into short sales or derivative transactions to hedge their economic exposure to our common stock. In addition, these directors, officers, and employees are prohibited from pledging our stock, including through holding our stock in margin accounts.</w:t>
      </w: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Corporate Tax Deduction for Executive Compensation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While an exception exists for certain arrangements in place as of November 2, 2017, only the first $1 million in compensation paid to our named executive officers generally is deductible. Although tax deductibility of compensation is advantageous, the primary objective of our compensation programs is meeting the compensation objectives set forth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629920"/>
                <wp:effectExtent l="0" t="0" r="0" b="0"/>
                <wp:wrapNone/>
                <wp:docPr id="298" name="Frame7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68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68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3475" w:type="dxa"/>
        <w:jc w:val="left"/>
        <w:tblInd w:w="0" w:type="dxa"/>
        <w:tblLayout w:type="fixed"/>
        <w:tblCellMar>
          <w:top w:w="28" w:type="dxa"/>
          <w:left w:w="28" w:type="dxa"/>
          <w:bottom w:w="28" w:type="dxa"/>
          <w:right w:w="28" w:type="dxa"/>
        </w:tblCellMar>
      </w:tblPr>
      <w:tblGrid>
        <w:gridCol w:w="188"/>
        <w:gridCol w:w="166"/>
        <w:gridCol w:w="167"/>
        <w:gridCol w:w="863"/>
        <w:gridCol w:w="863"/>
        <w:gridCol w:w="1228"/>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299"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25" descr=""/>
                          <pic:cNvPicPr>
                            <a:picLocks noChangeAspect="1" noChangeArrowheads="1"/>
                          </pic:cNvPicPr>
                        </pic:nvPicPr>
                        <pic:blipFill>
                          <a:blip r:embed="rId226"/>
                          <a:stretch>
                            <a:fillRect/>
                          </a:stretch>
                        </pic:blipFill>
                        <pic:spPr bwMode="auto">
                          <a:xfrm>
                            <a:off x="0" y="0"/>
                            <a:ext cx="228600" cy="180975"/>
                          </a:xfrm>
                          <a:prstGeom prst="rect">
                            <a:avLst/>
                          </a:prstGeom>
                        </pic:spPr>
                      </pic:pic>
                    </a:graphicData>
                  </a:graphic>
                </wp:inline>
              </w:drawing>
            </w:r>
            <w:r>
              <w:rPr>
                <w:color w:val="000000"/>
              </w:rPr>
              <w:t> </w:t>
            </w:r>
          </w:p>
        </w:tc>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discussion and analysis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Management Development and Compensation Committee Report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accordance with its written charter adopted by the Board, the Management Development and Compensation Committee has oversight of compensation policies designed to align elected officers’ compensation with our overall business strategy, values and management initiatives. In discharging its oversight responsibility, the Committee has retained an independent compensation consultant to advise the Committee regarding market and general compensation trends.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Committee has reviewed and discussed the Compensation Discussion and Analysis with our management, which has the responsibility for preparing the Compensation Discussion and Analysis. Based upon this review and discussion, the Committee recommended to the Board that the Compensation Discussion and Analysis be included in this proxy statement and incorporated by reference in our Annual Report on Form 10-K filed with the SEC for the fiscal year ended December 31, 2024.</w:t>
      </w:r>
    </w:p>
    <w:tbl>
      <w:tblPr>
        <w:tblW w:w="9465" w:type="dxa"/>
        <w:jc w:val="right"/>
        <w:tblInd w:w="0" w:type="dxa"/>
        <w:tblLayout w:type="fixed"/>
        <w:tblCellMar>
          <w:top w:w="28" w:type="dxa"/>
          <w:left w:w="28" w:type="dxa"/>
          <w:bottom w:w="28" w:type="dxa"/>
          <w:right w:w="28" w:type="dxa"/>
        </w:tblCellMar>
      </w:tblPr>
      <w:tblGrid>
        <w:gridCol w:w="3031"/>
        <w:gridCol w:w="2665"/>
        <w:gridCol w:w="3769"/>
      </w:tblGrid>
      <w:tr>
        <w:trPr/>
        <w:tc>
          <w:tcPr>
            <w:tcW w:w="3031"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946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MANAGEMENT DEVELOPMENT AND COMPENSATION COMMITTEE OF THE BOARD OF DIRECTORS</w:t>
            </w:r>
          </w:p>
        </w:tc>
      </w:tr>
      <w:tr>
        <w:trPr/>
        <w:tc>
          <w:tcPr>
            <w:tcW w:w="9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John W. Culver, Chair</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Mae C. Jemison, M.D.</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S. Todd Maclin</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Christa S. Quarles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629920"/>
                <wp:effectExtent l="0" t="0" r="0" b="0"/>
                <wp:wrapNone/>
                <wp:docPr id="300" name="Frame7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69</w:t>
                            </w:r>
                          </w:p>
                        </w:tc>
                      </w:tr>
                    </w:tbl>
                    <w:p>
                      <w:pPr>
                        <w:pStyle w:val="TextBody"/>
                        <w:bidi w:val="0"/>
                        <w:spacing w:before="0" w:after="283"/>
                        <w:jc w:val="left"/>
                        <w:rPr/>
                      </w:pPr>
                      <w:r>
                        <w:rPr/>
                      </w:r>
                    </w:p>
                  </w:txbxContent>
                </v:textbox>
                <w10:wrap type="none"/>
              </v:rect>
            </w:pict>
          </mc:Fallback>
        </mc:AlternateContent>
      </w:r>
    </w:p>
    <w:tbl>
      <w:tblPr>
        <w:tblW w:w="3476" w:type="dxa"/>
        <w:jc w:val="left"/>
        <w:tblInd w:w="0" w:type="dxa"/>
        <w:tblLayout w:type="fixed"/>
        <w:tblCellMar>
          <w:top w:w="28" w:type="dxa"/>
          <w:left w:w="28" w:type="dxa"/>
          <w:bottom w:w="28" w:type="dxa"/>
          <w:right w:w="28" w:type="dxa"/>
        </w:tblCellMar>
      </w:tblPr>
      <w:tblGrid>
        <w:gridCol w:w="1059"/>
        <w:gridCol w:w="932"/>
        <w:gridCol w:w="934"/>
        <w:gridCol w:w="161"/>
        <w:gridCol w:w="161"/>
        <w:gridCol w:w="22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4"/>
              </w:rPr>
            </w:pPr>
            <w:r>
              <w:rPr>
                <w:rFonts w:ascii="Lato Bold;sans-serif" w:hAnsi="Lato Bold;sans-serif"/>
                <w:b/>
                <w:color w:val="000000"/>
                <w:sz w:val="14"/>
              </w:rPr>
              <w:t>Compensation discussion and analysis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01"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26" descr=""/>
                          <pic:cNvPicPr>
                            <a:picLocks noChangeAspect="1" noChangeArrowheads="1"/>
                          </pic:cNvPicPr>
                        </pic:nvPicPr>
                        <pic:blipFill>
                          <a:blip r:embed="rId227"/>
                          <a:stretch>
                            <a:fillRect/>
                          </a:stretch>
                        </pic:blipFill>
                        <pic:spPr bwMode="auto">
                          <a:xfrm>
                            <a:off x="0" y="0"/>
                            <a:ext cx="228600" cy="180975"/>
                          </a:xfrm>
                          <a:prstGeom prst="rect">
                            <a:avLst/>
                          </a:prstGeom>
                        </pic:spPr>
                      </pic:pic>
                    </a:graphicData>
                  </a:graphic>
                </wp:inline>
              </w:drawing>
            </w:r>
            <w:r>
              <w:rPr>
                <w:color w:val="000000"/>
              </w:rPr>
              <w:t> </w:t>
            </w:r>
          </w:p>
        </w:tc>
      </w:tr>
      <w:tr>
        <w:trPr/>
        <w:tc>
          <w:tcPr>
            <w:tcW w:w="29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Analysis of Compensation-Related Risks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The Committee, with the assistance of its independent consultant and Kimberly-Clark’s compensation consultant, has reviewed an assessment of our compensation programs for our employees, including our executive officers, to analyze the risks arising from our compensation systems.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Based on this assessment, the Committee believes that the design of our compensation programs, including our executive compensation program, does not encourage our executives or employees to take excessive risks and that the risks arising from these programs are not reasonably likely to have a material adverse effect on Kimberly-Clark.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Several factors contributed to the Committee’s conclusion, including:</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 Committee believes Kimberly-Clark maintains a values-driven, ethics-based culture supported by a strong tone at the top.</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 performance targets for annual cash incentive programs are selected to ensure that they are reasonably attainable in a manner consistent with our strategic objectives without encouraging executives or employees to take inappropriate risks.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An analysis by Kimberly-Clark’s consultant indicated that our compensation programs are consistent with those of our peer group.</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 Committee believes the allocation among the components of direct annual compensation provides an appropriate balance between annual and long-term incentives and between fixed and performance-based compensation.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Annual cash incentives and long-term performance-based restricted share unit awards under our executive compensation program are capped at 200 percent of the target award, and all other material non-executive cash incentive programs are capped at reasonable levels, which the Committee believes protects against disproportionately large incentives.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 Committee believes the performance measures and the multi-year vesting features of the long-term equity incentive compensation component encourage participants to seek sustainable growth and value creation.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 Committee believes inclusion of share-based compensation through the long-term equity incentive compensation component encourages appropriate decision-making that is aligned with the long-term interests of stockholders.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Our stock ownership guidelines further align the interests of management and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629920"/>
                <wp:effectExtent l="0" t="0" r="0" b="0"/>
                <wp:wrapNone/>
                <wp:docPr id="302" name="Frame7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70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70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893" w:type="dxa"/>
        <w:jc w:val="left"/>
        <w:tblInd w:w="0" w:type="dxa"/>
        <w:tblLayout w:type="fixed"/>
        <w:tblCellMar>
          <w:top w:w="28" w:type="dxa"/>
          <w:left w:w="28" w:type="dxa"/>
          <w:bottom w:w="28" w:type="dxa"/>
          <w:right w:w="28" w:type="dxa"/>
        </w:tblCellMar>
      </w:tblPr>
      <w:tblGrid>
        <w:gridCol w:w="188"/>
        <w:gridCol w:w="166"/>
        <w:gridCol w:w="16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03"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27" descr=""/>
                          <pic:cNvPicPr>
                            <a:picLocks noChangeAspect="1" noChangeArrowheads="1"/>
                          </pic:cNvPicPr>
                        </pic:nvPicPr>
                        <pic:blipFill>
                          <a:blip r:embed="rId228"/>
                          <a:stretch>
                            <a:fillRect/>
                          </a:stretch>
                        </pic:blipFill>
                        <pic:spPr bwMode="auto">
                          <a:xfrm>
                            <a:off x="0" y="0"/>
                            <a:ext cx="228600" cy="180975"/>
                          </a:xfrm>
                          <a:prstGeom prst="rect">
                            <a:avLst/>
                          </a:prstGeom>
                        </pic:spPr>
                      </pic:pic>
                    </a:graphicData>
                  </a:graphic>
                </wp:inline>
              </w:drawing>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120"/>
        <w:jc w:val="left"/>
        <w:rPr>
          <w:rFonts w:ascii="Lato;sans-serif" w:hAnsi="Lato;sans-serif"/>
          <w:b w:val="false"/>
          <w:color w:val="0046C8"/>
          <w:sz w:val="48"/>
        </w:rPr>
      </w:pPr>
      <w:r>
        <w:rPr>
          <w:rFonts w:ascii="Lato;sans-serif" w:hAnsi="Lato;sans-serif"/>
          <w:b w:val="false"/>
          <w:color w:val="0046C8"/>
          <w:sz w:val="48"/>
        </w:rPr>
        <w:t>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Summary Compensation</w:t>
      </w:r>
    </w:p>
    <w:p>
      <w:pPr>
        <w:pStyle w:val="TextBody"/>
        <w:bidi w:val="0"/>
        <w:spacing w:lineRule="auto" w:line="312" w:before="120" w:after="120"/>
        <w:jc w:val="left"/>
        <w:rPr/>
      </w:pPr>
      <w:r>
        <w:rPr>
          <w:rFonts w:ascii="Lato;sans-serif" w:hAnsi="Lato;sans-serif"/>
          <w:b w:val="false"/>
          <w:color w:val="000000"/>
          <w:sz w:val="19"/>
        </w:rPr>
        <w:t xml:space="preserve">The following table contains information concerning compensation awarded to, earned by, or paid to our named executive officers in the last three years. Additional information regarding the items reflected in each column appears below the table and on page </w:t>
      </w:r>
      <w:hyperlink w:anchor="i931a866e6fe2486898a03ddf2c35367a_2133">
        <w:r>
          <w:rPr>
            <w:rStyle w:val="InternetLink"/>
            <w:rFonts w:ascii="Lato;sans-serif" w:hAnsi="Lato;sans-serif"/>
            <w:b w:val="false"/>
            <w:strike w:val="false"/>
            <w:dstrike w:val="false"/>
            <w:color w:val="000000"/>
            <w:sz w:val="19"/>
            <w:u w:val="none"/>
            <w:effect w:val="none"/>
          </w:rPr>
          <w:t>76</w:t>
        </w:r>
      </w:hyperlink>
      <w:r>
        <w:rPr>
          <w:rFonts w:ascii="Lato;sans-serif" w:hAnsi="Lato;sans-serif"/>
          <w:b w:val="false"/>
          <w:color w:val="000000"/>
          <w:sz w:val="19"/>
        </w:rPr>
        <w:t>.</w:t>
      </w:r>
    </w:p>
    <w:p>
      <w:pPr>
        <w:pStyle w:val="TextBody"/>
        <w:bidi w:val="0"/>
        <w:spacing w:lineRule="auto" w:line="288" w:before="0" w:after="0"/>
        <w:jc w:val="left"/>
        <w:rPr>
          <w:rFonts w:ascii="Lato Bold;sans-serif" w:hAnsi="Lato Bold;sans-serif"/>
          <w:b/>
          <w:color w:val="000000"/>
          <w:sz w:val="22"/>
        </w:rPr>
      </w:pPr>
      <w:r>
        <w:rPr>
          <w:rFonts w:ascii="Lato Bold;sans-serif" w:hAnsi="Lato Bold;sans-serif"/>
          <w:b/>
          <w:color w:val="000000"/>
          <w:sz w:val="22"/>
        </w:rPr>
        <w:t>Summary Compensation Table</w:t>
      </w:r>
    </w:p>
    <w:tbl>
      <w:tblPr>
        <w:tblW w:w="12753" w:type="dxa"/>
        <w:jc w:val="left"/>
        <w:tblInd w:w="0" w:type="dxa"/>
        <w:tblLayout w:type="fixed"/>
        <w:tblCellMar>
          <w:top w:w="28" w:type="dxa"/>
          <w:left w:w="28" w:type="dxa"/>
          <w:bottom w:w="28" w:type="dxa"/>
          <w:right w:w="28" w:type="dxa"/>
        </w:tblCellMar>
      </w:tblPr>
      <w:tblGrid>
        <w:gridCol w:w="733"/>
        <w:gridCol w:w="412"/>
        <w:gridCol w:w="341"/>
        <w:gridCol w:w="200"/>
        <w:gridCol w:w="200"/>
        <w:gridCol w:w="201"/>
        <w:gridCol w:w="563"/>
        <w:gridCol w:w="563"/>
        <w:gridCol w:w="261"/>
        <w:gridCol w:w="563"/>
        <w:gridCol w:w="563"/>
        <w:gridCol w:w="261"/>
        <w:gridCol w:w="623"/>
        <w:gridCol w:w="623"/>
        <w:gridCol w:w="306"/>
        <w:gridCol w:w="563"/>
        <w:gridCol w:w="563"/>
        <w:gridCol w:w="306"/>
        <w:gridCol w:w="563"/>
        <w:gridCol w:w="563"/>
        <w:gridCol w:w="561"/>
        <w:gridCol w:w="560"/>
        <w:gridCol w:w="560"/>
        <w:gridCol w:w="561"/>
        <w:gridCol w:w="623"/>
        <w:gridCol w:w="623"/>
        <w:gridCol w:w="294"/>
      </w:tblGrid>
      <w:tr>
        <w:trPr/>
        <w:tc>
          <w:tcPr>
            <w:tcW w:w="7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Name and</w:t>
              <w:br/>
              <w:t>Principal Position</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Year</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Salary</w:t>
              <w:br/>
              <w:t>($)</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Bonus</w:t>
              <w:br/>
              <w:t> ($)</w:t>
            </w:r>
          </w:p>
        </w:tc>
        <w:tc>
          <w:tcPr>
            <w:tcW w:w="15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Stock</w:t>
              <w:br/>
              <w:t>Awards</w:t>
              <w:br/>
              <w:t>($)</w:t>
            </w:r>
          </w:p>
        </w:tc>
        <w:tc>
          <w:tcPr>
            <w:tcW w:w="14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Option</w:t>
              <w:br/>
              <w:t>Awards</w:t>
              <w:br/>
              <w:t>($)</w:t>
            </w:r>
          </w:p>
        </w:tc>
        <w:tc>
          <w:tcPr>
            <w:tcW w:w="16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Non-Equity</w:t>
              <w:br/>
              <w:t>Incentive Plan</w:t>
              <w:br/>
              <w:t>Compensation</w:t>
              <w:br/>
              <w:t>($)</w:t>
            </w:r>
          </w:p>
        </w:tc>
        <w:tc>
          <w:tcPr>
            <w:tcW w:w="16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All Other</w:t>
              <w:br/>
              <w:t>Compensation</w:t>
              <w:br/>
              <w:t>($)</w:t>
            </w:r>
          </w:p>
        </w:tc>
        <w:tc>
          <w:tcPr>
            <w:tcW w:w="15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Total</w:t>
              <w:br/>
              <w:t>($)</w:t>
            </w:r>
          </w:p>
        </w:tc>
      </w:tr>
      <w:tr>
        <w:trPr/>
        <w:tc>
          <w:tcPr>
            <w:tcW w:w="1486" w:type="dxa"/>
            <w:gridSpan w:val="3"/>
            <w:vMerge w:val="restart"/>
            <w:tcBorders>
              <w:top w:val="single" w:sz="8" w:space="0" w:color="0046C8"/>
            </w:tcBorders>
            <w:tcMar>
              <w:top w:w="3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0046C8"/>
                <w:sz w:val="18"/>
              </w:rPr>
            </w:pPr>
            <w:r>
              <w:rPr>
                <w:rFonts w:ascii="Lato Bold;sans-serif" w:hAnsi="Lato Bold;sans-serif"/>
                <w:b/>
                <w:color w:val="0046C8"/>
                <w:sz w:val="18"/>
              </w:rPr>
              <w:t xml:space="preserve">Michael D. Hsu </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 xml:space="preserve">Chairman of the </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 xml:space="preserve">Board and Chief </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Executive Officer</w:t>
            </w:r>
          </w:p>
        </w:tc>
        <w:tc>
          <w:tcPr>
            <w:tcW w:w="601"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11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1,496,250 </w:t>
            </w:r>
          </w:p>
        </w:tc>
        <w:tc>
          <w:tcPr>
            <w:tcW w:w="26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11,000,028 </w:t>
            </w:r>
          </w:p>
        </w:tc>
        <w:tc>
          <w:tcPr>
            <w:tcW w:w="30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3,275,424 </w:t>
            </w:r>
          </w:p>
        </w:tc>
        <w:tc>
          <w:tcPr>
            <w:tcW w:w="56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641,343 </w:t>
            </w:r>
          </w:p>
        </w:tc>
        <w:tc>
          <w:tcPr>
            <w:tcW w:w="56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16,413,045 </w:t>
            </w:r>
          </w:p>
        </w:tc>
        <w:tc>
          <w:tcPr>
            <w:tcW w:w="294"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vMerge w:val="continue"/>
            <w:tcBorders>
              <w:top w:val="single" w:sz="8" w:space="0" w:color="0046C8"/>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1,471,250 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10,799,903 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3,530,558 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726,341 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16,528,052 </w:t>
            </w:r>
          </w:p>
        </w:tc>
        <w:tc>
          <w:tcPr>
            <w:tcW w:w="29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vMerge w:val="continue"/>
            <w:tcBorders>
              <w:top w:val="single" w:sz="8" w:space="0" w:color="0046C8"/>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1,416,250 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7,500,024 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3,142,697 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2,121,273 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375,317 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14,555,561 </w:t>
            </w:r>
          </w:p>
        </w:tc>
        <w:tc>
          <w:tcPr>
            <w:tcW w:w="29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0046C8"/>
                <w:sz w:val="18"/>
              </w:rPr>
            </w:pPr>
            <w:r>
              <w:rPr>
                <w:rFonts w:ascii="Lato Bold;sans-serif" w:hAnsi="Lato Bold;sans-serif"/>
                <w:b/>
                <w:color w:val="0046C8"/>
                <w:sz w:val="18"/>
              </w:rPr>
              <w:t>Nelson Urdaneta</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 xml:space="preserve">Senior Vice </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 xml:space="preserve">President and Chief </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Financial Officer</w:t>
            </w:r>
          </w:p>
        </w:tc>
        <w:tc>
          <w:tcPr>
            <w:tcW w:w="60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887,500 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3,500,046 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1,123,003 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227,803 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5,738,352 </w:t>
            </w:r>
          </w:p>
        </w:tc>
        <w:tc>
          <w:tcPr>
            <w:tcW w:w="29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831,350 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2,700,012 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1,373,583 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503,722 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5,408,667 </w:t>
            </w:r>
          </w:p>
        </w:tc>
        <w:tc>
          <w:tcPr>
            <w:tcW w:w="29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547,421 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250,000 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2,899,954 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691,398 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587,147 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138,104 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5,114,024 </w:t>
            </w:r>
          </w:p>
        </w:tc>
        <w:tc>
          <w:tcPr>
            <w:tcW w:w="29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Jeffrey Melucci</w:t>
            </w:r>
            <w:r>
              <w:rPr>
                <w:rFonts w:ascii="Lato Bold;sans-serif" w:hAnsi="Lato Bold;sans-serif"/>
                <w:b/>
                <w:color w:val="0046C8"/>
                <w:sz w:val="12"/>
              </w:rPr>
              <w:t>(1)</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 xml:space="preserve">Chief Business, Strategy and </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Transformation Officer</w:t>
            </w:r>
          </w:p>
        </w:tc>
        <w:tc>
          <w:tcPr>
            <w:tcW w:w="60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900,000 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4,150,060 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1,235,303 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202,713 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6,488,076 </w:t>
            </w:r>
          </w:p>
        </w:tc>
        <w:tc>
          <w:tcPr>
            <w:tcW w:w="29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841,425 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2,200,105 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1,045,804 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171,391 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4,258,725 </w:t>
            </w:r>
          </w:p>
        </w:tc>
        <w:tc>
          <w:tcPr>
            <w:tcW w:w="29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805,000 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2,574,888 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659,971 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690,372 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110,570 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4,840,801 </w:t>
            </w:r>
          </w:p>
        </w:tc>
        <w:tc>
          <w:tcPr>
            <w:tcW w:w="29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vMerge w:val="restart"/>
            <w:tcBorders>
              <w:top w:val="single" w:sz="4" w:space="0" w:color="BCBEC0"/>
            </w:tcBorders>
            <w:tcMar>
              <w:top w:w="3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0046C8"/>
                <w:sz w:val="18"/>
              </w:rPr>
            </w:pPr>
            <w:r>
              <w:rPr>
                <w:rFonts w:ascii="Lato Bold;sans-serif" w:hAnsi="Lato Bold;sans-serif"/>
                <w:b/>
                <w:color w:val="0046C8"/>
                <w:sz w:val="18"/>
              </w:rPr>
              <w:t>Zackery Hicks</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Chief Digital and</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Technology Officer</w:t>
            </w:r>
          </w:p>
        </w:tc>
        <w:tc>
          <w:tcPr>
            <w:tcW w:w="60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1,015,000 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3,000,020 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1,272,736 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247,458 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5,535,214 </w:t>
            </w:r>
          </w:p>
        </w:tc>
        <w:tc>
          <w:tcPr>
            <w:tcW w:w="29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1,000,100 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3,000,013 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1,452,980 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159,919 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5,613,012 </w:t>
            </w:r>
          </w:p>
        </w:tc>
        <w:tc>
          <w:tcPr>
            <w:tcW w:w="29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vMerge w:val="continue"/>
            <w:tcBorders>
              <w:top w:val="single" w:sz="4" w:space="0" w:color="BCBEC0"/>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432,540 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1,100,000 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4,150,067 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749,830 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398,570 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32,873 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6,863,880 </w:t>
            </w:r>
          </w:p>
        </w:tc>
        <w:tc>
          <w:tcPr>
            <w:tcW w:w="29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vMerge w:val="restart"/>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Russell Torres</w:t>
            </w:r>
            <w:r>
              <w:rPr>
                <w:rFonts w:ascii="Lato Bold;sans-serif" w:hAnsi="Lato Bold;sans-serif"/>
                <w:b/>
                <w:color w:val="0046C8"/>
                <w:sz w:val="12"/>
              </w:rPr>
              <w:t>(2)</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President,</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North America</w:t>
            </w:r>
          </w:p>
        </w:tc>
        <w:tc>
          <w:tcPr>
            <w:tcW w:w="60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891,250 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3,299,981 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860,178 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207,976 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5,259,385 </w:t>
            </w:r>
          </w:p>
        </w:tc>
        <w:tc>
          <w:tcPr>
            <w:tcW w:w="29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vMerge w:val="continue"/>
            <w:tcBorders>
              <w:top w:val="single" w:sz="4" w:space="0" w:color="BCBEC0"/>
              <w:bottom w:val="single" w:sz="8" w:space="0" w:color="0046C8"/>
            </w:tcBorders>
            <w:tcMar>
              <w:top w:w="30" w:type="dxa"/>
              <w:left w:w="0" w:type="dxa"/>
              <w:bottom w:w="30" w:type="dxa"/>
              <w:right w:w="0" w:type="dxa"/>
            </w:tcMar>
            <w:vAlign w:val="center"/>
          </w:tcPr>
          <w:p>
            <w:pPr>
              <w:pStyle w:val="Normal"/>
              <w:bidi w:val="0"/>
              <w:jc w:val="left"/>
              <w:rPr/>
            </w:pPr>
            <w:r>
              <w:rPr/>
            </w:r>
          </w:p>
        </w:tc>
        <w:tc>
          <w:tcPr>
            <w:tcW w:w="601" w:type="dxa"/>
            <w:gridSpan w:val="3"/>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856,250 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3,000,013 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1,115,915 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159,736 </w:t>
            </w:r>
          </w:p>
        </w:tc>
        <w:tc>
          <w:tcPr>
            <w:tcW w:w="561"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5,131,914 </w:t>
            </w:r>
          </w:p>
        </w:tc>
        <w:tc>
          <w:tcPr>
            <w:tcW w:w="294" w:type="dxa"/>
            <w:tcBorders>
              <w:top w:val="single" w:sz="4" w:space="0" w:color="BCBEC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vMerge w:val="continue"/>
            <w:tcBorders>
              <w:top w:val="single" w:sz="4" w:space="0" w:color="BCBEC0"/>
              <w:bottom w:val="single" w:sz="8" w:space="0" w:color="0046C8"/>
            </w:tcBorders>
            <w:tcMar>
              <w:top w:w="30" w:type="dxa"/>
              <w:left w:w="0" w:type="dxa"/>
              <w:bottom w:w="30" w:type="dxa"/>
              <w:right w:w="0" w:type="dxa"/>
            </w:tcMar>
            <w:vAlign w:val="center"/>
          </w:tcPr>
          <w:p>
            <w:pPr>
              <w:pStyle w:val="Normal"/>
              <w:bidi w:val="0"/>
              <w:jc w:val="left"/>
              <w:rPr/>
            </w:pPr>
            <w:r>
              <w:rPr/>
            </w:r>
          </w:p>
        </w:tc>
        <w:tc>
          <w:tcPr>
            <w:tcW w:w="601" w:type="dxa"/>
            <w:gridSpan w:val="3"/>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1126" w:type="dxa"/>
            <w:gridSpan w:val="2"/>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822,500 </w:t>
            </w:r>
          </w:p>
        </w:tc>
        <w:tc>
          <w:tcPr>
            <w:tcW w:w="261" w:type="dxa"/>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3,099,913 </w:t>
            </w:r>
          </w:p>
        </w:tc>
        <w:tc>
          <w:tcPr>
            <w:tcW w:w="306" w:type="dxa"/>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879,961 </w:t>
            </w:r>
          </w:p>
        </w:tc>
        <w:tc>
          <w:tcPr>
            <w:tcW w:w="306" w:type="dxa"/>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554,057 </w:t>
            </w:r>
          </w:p>
        </w:tc>
        <w:tc>
          <w:tcPr>
            <w:tcW w:w="561" w:type="dxa"/>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141,858 </w:t>
            </w:r>
          </w:p>
        </w:tc>
        <w:tc>
          <w:tcPr>
            <w:tcW w:w="561" w:type="dxa"/>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5,498,289 </w:t>
            </w:r>
          </w:p>
        </w:tc>
        <w:tc>
          <w:tcPr>
            <w:tcW w:w="294" w:type="dxa"/>
            <w:tcBorders>
              <w:top w:val="single" w:sz="4" w:space="0" w:color="BCBEC0"/>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(1)</w:t>
      </w:r>
      <w:r>
        <w:rPr>
          <w:rFonts w:ascii="Lato;sans-serif" w:hAnsi="Lato;sans-serif"/>
          <w:b w:val="false"/>
          <w:color w:val="000000"/>
          <w:sz w:val="16"/>
        </w:rPr>
        <w:t>In January 2024, Mr. Melucci was promoted to Chief Business and Transformation Officer. On October 1, 2024, his title was changed to Chief Business, Strategy and Transformation Officer to better reflect his responsibilities.</w:t>
      </w:r>
    </w:p>
    <w:p>
      <w:pPr>
        <w:pStyle w:val="TextBody"/>
        <w:bidi w:val="0"/>
        <w:spacing w:lineRule="auto" w:line="312" w:before="80" w:after="120"/>
        <w:ind w:left="0" w:right="0" w:hanging="216"/>
        <w:jc w:val="left"/>
        <w:rPr/>
      </w:pPr>
      <w:r>
        <w:rPr>
          <w:rFonts w:ascii="Lato;sans-serif" w:hAnsi="Lato;sans-serif"/>
          <w:b w:val="false"/>
          <w:color w:val="000000"/>
          <w:sz w:val="10"/>
        </w:rPr>
        <w:t>(2)</w:t>
      </w:r>
      <w:r>
        <w:rPr>
          <w:rFonts w:ascii="Lato;sans-serif" w:hAnsi="Lato;sans-serif"/>
          <w:b w:val="false"/>
          <w:color w:val="000000"/>
          <w:sz w:val="16"/>
        </w:rPr>
        <w:t>Prior to October 1, 2024, Mr. Torres served as Group President, K-C North America. On October 1, 2024, his role changed to President, North America when we realigned our internal operating and management structure as part of our 2024 transformation initiative.</w:t>
      </w:r>
    </w:p>
    <w:p>
      <w:pPr>
        <w:pStyle w:val="TextBody"/>
        <w:bidi w:val="0"/>
        <w:spacing w:lineRule="auto" w:line="312" w:before="120" w:after="120"/>
        <w:jc w:val="left"/>
        <w:rPr/>
      </w:pPr>
      <w:r>
        <w:rPr>
          <w:rFonts w:ascii="Lato;sans-serif" w:hAnsi="Lato;sans-serif"/>
          <w:b w:val="false"/>
          <w:i/>
          <w:color w:val="000000"/>
          <w:sz w:val="19"/>
        </w:rPr>
        <w:t>Salary.</w:t>
      </w:r>
      <w:r>
        <w:rPr>
          <w:color w:val="000000"/>
        </w:rPr>
        <w:t xml:space="preserve"> </w:t>
      </w:r>
      <w:r>
        <w:rPr>
          <w:rFonts w:ascii="Lato;sans-serif" w:hAnsi="Lato;sans-serif"/>
          <w:b w:val="false"/>
          <w:color w:val="000000"/>
          <w:sz w:val="19"/>
        </w:rPr>
        <w:t>The amounts in this column represent base salary earned during the year.</w:t>
      </w:r>
    </w:p>
    <w:p>
      <w:pPr>
        <w:pStyle w:val="TextBody"/>
        <w:bidi w:val="0"/>
        <w:spacing w:lineRule="auto" w:line="312" w:before="120" w:after="120"/>
        <w:jc w:val="left"/>
        <w:rPr/>
      </w:pPr>
      <w:r>
        <w:rPr>
          <w:rFonts w:ascii="Lato;sans-serif" w:hAnsi="Lato;sans-serif"/>
          <w:b w:val="false"/>
          <w:i/>
          <w:color w:val="000000"/>
          <w:sz w:val="19"/>
        </w:rPr>
        <w:t>Bonus.</w:t>
      </w:r>
      <w:r>
        <w:rPr>
          <w:color w:val="000000"/>
        </w:rPr>
        <w:t xml:space="preserve"> </w:t>
      </w:r>
      <w:r>
        <w:rPr>
          <w:rFonts w:ascii="Lato;sans-serif" w:hAnsi="Lato;sans-serif"/>
          <w:b w:val="false"/>
          <w:color w:val="000000"/>
          <w:sz w:val="19"/>
        </w:rPr>
        <w:t>Mr. Urdaneta and Mr. Hicks each received a cash signing bonus in 2022, in each case as an incentive to join the company and to compensate the officer for compensation forfeited at his prior employer.</w:t>
      </w:r>
    </w:p>
    <w:p>
      <w:pPr>
        <w:pStyle w:val="TextBody"/>
        <w:bidi w:val="0"/>
        <w:spacing w:lineRule="auto" w:line="312" w:before="120" w:after="120"/>
        <w:jc w:val="left"/>
        <w:rPr/>
      </w:pPr>
      <w:r>
        <w:rPr>
          <w:rFonts w:ascii="Lato;sans-serif" w:hAnsi="Lato;sans-serif"/>
          <w:b w:val="false"/>
          <w:i/>
          <w:color w:val="000000"/>
          <w:sz w:val="19"/>
        </w:rPr>
        <w:t>Stock Awards and Option Awards.</w:t>
      </w:r>
      <w:r>
        <w:rPr>
          <w:color w:val="000000"/>
        </w:rPr>
        <w:t xml:space="preserve"> </w:t>
      </w:r>
      <w:r>
        <w:rPr>
          <w:rFonts w:ascii="Lato;sans-serif" w:hAnsi="Lato;sans-serif"/>
          <w:b w:val="false"/>
          <w:color w:val="000000"/>
          <w:sz w:val="19"/>
        </w:rPr>
        <w:t>The amounts in these columns reflect the dollar value of restricted share unit awards and stock options, respectively, granted under our stockholder-approved 2021 Equity Participation Plan (the “2021 Plan”).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restricted share unit awards either vest over time or are based on the achievement of performance-based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629920"/>
                <wp:effectExtent l="0" t="0" r="0" b="0"/>
                <wp:wrapNone/>
                <wp:docPr id="304" name="Frame7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71</w:t>
                            </w:r>
                          </w:p>
                        </w:tc>
                      </w:tr>
                    </w:tbl>
                    <w:p>
                      <w:pPr>
                        <w:pStyle w:val="TextBody"/>
                        <w:bidi w:val="0"/>
                        <w:spacing w:before="0" w:after="283"/>
                        <w:jc w:val="left"/>
                        <w:rPr/>
                      </w:pPr>
                      <w:r>
                        <w:rPr/>
                      </w:r>
                    </w:p>
                  </w:txbxContent>
                </v:textbox>
                <w10:wrap type="none"/>
              </v:rect>
            </w:pict>
          </mc:Fallback>
        </mc:AlternateContent>
      </w:r>
    </w:p>
    <w:tbl>
      <w:tblPr>
        <w:tblW w:w="2216" w:type="dxa"/>
        <w:jc w:val="left"/>
        <w:tblInd w:w="0" w:type="dxa"/>
        <w:tblLayout w:type="fixed"/>
        <w:tblCellMar>
          <w:top w:w="28" w:type="dxa"/>
          <w:left w:w="28" w:type="dxa"/>
          <w:bottom w:w="28" w:type="dxa"/>
          <w:right w:w="28" w:type="dxa"/>
        </w:tblCellMar>
      </w:tblPr>
      <w:tblGrid>
        <w:gridCol w:w="603"/>
        <w:gridCol w:w="530"/>
        <w:gridCol w:w="532"/>
        <w:gridCol w:w="161"/>
        <w:gridCol w:w="161"/>
        <w:gridCol w:w="22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Compensation tables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05"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28" descr=""/>
                          <pic:cNvPicPr>
                            <a:picLocks noChangeAspect="1" noChangeArrowheads="1"/>
                          </pic:cNvPicPr>
                        </pic:nvPicPr>
                        <pic:blipFill>
                          <a:blip r:embed="rId229"/>
                          <a:stretch>
                            <a:fillRect/>
                          </a:stretch>
                        </pic:blipFill>
                        <pic:spPr bwMode="auto">
                          <a:xfrm>
                            <a:off x="0" y="0"/>
                            <a:ext cx="228600" cy="180975"/>
                          </a:xfrm>
                          <a:prstGeom prst="rect">
                            <a:avLst/>
                          </a:prstGeom>
                        </pic:spPr>
                      </pic:pic>
                    </a:graphicData>
                  </a:graphic>
                </wp:inline>
              </w:drawing>
            </w:r>
            <w:r>
              <w:rPr>
                <w:color w:val="000000"/>
              </w:rPr>
              <w:t> </w:t>
            </w:r>
          </w:p>
        </w:tc>
      </w:tr>
      <w:tr>
        <w:trPr/>
        <w:tc>
          <w:tcPr>
            <w:tcW w:w="166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amounts for each year represent the grant date fair value of the awards, computed in accordance with ASC Topic 718. See Note 7 to our audited consolidated financial statements included in our Annual Report on Form 10-K for 2024 for the assumptions we used in valuing and expensing these restricted share units and stock option awards in accordance with ASC Topic 718.</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For awards that are subject to performance conditions, the value is based on the probable outcome of the conditions at grant date. This value, as well as the value of the awards at the grant date assuming the highest level of performance conditions will be achieved and using the grant date stock price, is set forth below:</w:t>
      </w:r>
    </w:p>
    <w:tbl>
      <w:tblPr>
        <w:tblW w:w="6152" w:type="dxa"/>
        <w:jc w:val="left"/>
        <w:tblInd w:w="0" w:type="dxa"/>
        <w:tblLayout w:type="fixed"/>
        <w:tblCellMar>
          <w:top w:w="28" w:type="dxa"/>
          <w:left w:w="28" w:type="dxa"/>
          <w:bottom w:w="28" w:type="dxa"/>
          <w:right w:w="28" w:type="dxa"/>
        </w:tblCellMar>
      </w:tblPr>
      <w:tblGrid>
        <w:gridCol w:w="660"/>
        <w:gridCol w:w="583"/>
        <w:gridCol w:w="586"/>
        <w:gridCol w:w="200"/>
        <w:gridCol w:w="200"/>
        <w:gridCol w:w="201"/>
        <w:gridCol w:w="563"/>
        <w:gridCol w:w="563"/>
        <w:gridCol w:w="541"/>
        <w:gridCol w:w="623"/>
        <w:gridCol w:w="623"/>
        <w:gridCol w:w="809"/>
      </w:tblGrid>
      <w:tr>
        <w:trPr/>
        <w:tc>
          <w:tcPr>
            <w:tcW w:w="6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Name</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Year</w:t>
            </w:r>
          </w:p>
        </w:tc>
        <w:tc>
          <w:tcPr>
            <w:tcW w:w="16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Stock Awards</w:t>
              <w:br/>
              <w:t>at Grant Date</w:t>
              <w:br/>
              <w:t>Value</w:t>
              <w:br/>
              <w:t>($)</w:t>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Stock Awards at</w:t>
              <w:br/>
              <w:t>Highest Level</w:t>
              <w:br/>
              <w:t>of Performance</w:t>
              <w:br/>
              <w:t>Conditions</w:t>
              <w:br/>
              <w:t>($)</w:t>
            </w:r>
          </w:p>
        </w:tc>
      </w:tr>
      <w:tr>
        <w:trPr/>
        <w:tc>
          <w:tcPr>
            <w:tcW w:w="182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Michael D. Hsu</w:t>
            </w:r>
          </w:p>
        </w:tc>
        <w:tc>
          <w:tcPr>
            <w:tcW w:w="601"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11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6,599,962 </w:t>
            </w:r>
          </w:p>
        </w:tc>
        <w:tc>
          <w:tcPr>
            <w:tcW w:w="54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13,199,924 </w:t>
            </w:r>
          </w:p>
        </w:tc>
        <w:tc>
          <w:tcPr>
            <w:tcW w:w="809"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6,479,970 </w:t>
            </w:r>
          </w:p>
        </w:tc>
        <w:tc>
          <w:tcPr>
            <w:tcW w:w="5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12,959,940 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7,500,024 </w:t>
            </w:r>
          </w:p>
        </w:tc>
        <w:tc>
          <w:tcPr>
            <w:tcW w:w="5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15,000,048 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restart"/>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Nelson Urdaneta</w:t>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2,100,000 </w:t>
            </w:r>
          </w:p>
        </w:tc>
        <w:tc>
          <w:tcPr>
            <w:tcW w:w="5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4,200,000 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1,620,064 </w:t>
            </w:r>
          </w:p>
        </w:tc>
        <w:tc>
          <w:tcPr>
            <w:tcW w:w="5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3,240,128 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1,649,979 </w:t>
            </w:r>
          </w:p>
        </w:tc>
        <w:tc>
          <w:tcPr>
            <w:tcW w:w="5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3,299,958 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restart"/>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Jeffrey Melucci</w:t>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1,889,973 </w:t>
            </w:r>
          </w:p>
        </w:tc>
        <w:tc>
          <w:tcPr>
            <w:tcW w:w="5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3,779,946 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1,320,063 </w:t>
            </w:r>
          </w:p>
        </w:tc>
        <w:tc>
          <w:tcPr>
            <w:tcW w:w="5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2,640,126 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1,574,945 </w:t>
            </w:r>
          </w:p>
        </w:tc>
        <w:tc>
          <w:tcPr>
            <w:tcW w:w="5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3,149,890 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restart"/>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Zackery Hicks</w:t>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1,800,039 </w:t>
            </w:r>
          </w:p>
        </w:tc>
        <w:tc>
          <w:tcPr>
            <w:tcW w:w="5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3,600,078 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1,800,008 </w:t>
            </w:r>
          </w:p>
        </w:tc>
        <w:tc>
          <w:tcPr>
            <w:tcW w:w="5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3,600,016 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2,250,051 </w:t>
            </w:r>
          </w:p>
        </w:tc>
        <w:tc>
          <w:tcPr>
            <w:tcW w:w="5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4,500,102 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Russell Torres</w:t>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1,980,043 </w:t>
            </w:r>
          </w:p>
        </w:tc>
        <w:tc>
          <w:tcPr>
            <w:tcW w:w="5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3,960,086 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1,800,008 </w:t>
            </w:r>
          </w:p>
        </w:tc>
        <w:tc>
          <w:tcPr>
            <w:tcW w:w="54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3,600,016 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11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2,099,970 </w:t>
            </w:r>
          </w:p>
        </w:tc>
        <w:tc>
          <w:tcPr>
            <w:tcW w:w="54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4,199,940 </w:t>
            </w:r>
          </w:p>
        </w:tc>
        <w:tc>
          <w:tcPr>
            <w:tcW w:w="809"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Lato;sans-serif" w:hAnsi="Lato;sans-serif"/>
          <w:b w:val="false"/>
          <w:i/>
          <w:color w:val="000000"/>
          <w:sz w:val="19"/>
        </w:rPr>
        <w:t xml:space="preserve">Non-Equity Incentive Plan Compensation. </w:t>
      </w:r>
      <w:r>
        <w:rPr>
          <w:rFonts w:ascii="Lato;sans-serif" w:hAnsi="Lato;sans-serif"/>
          <w:b w:val="false"/>
          <w:color w:val="000000"/>
          <w:sz w:val="19"/>
        </w:rPr>
        <w:t>The amounts in this column are the annual cash incentive payments described in “Compensation Discussion and Analysis.” These amounts were earned during the years indicated and were paid to our named executive officers in February of the following year.</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Each of our named executive officers participates in the Supplemental 401(k) Plan, a non-qualified defined contribution plan. Earnings on this plan are not included in the Summary Compensation Table because the earnings were not above-market or preferential. See “Nonqualified Deferred Compensation” for a discussion of this plan and each named executive officer’s earnings under this plan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629920"/>
                <wp:effectExtent l="0" t="0" r="0" b="0"/>
                <wp:wrapNone/>
                <wp:docPr id="306" name="Frame7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72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72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215" w:type="dxa"/>
        <w:jc w:val="left"/>
        <w:tblInd w:w="0" w:type="dxa"/>
        <w:tblLayout w:type="fixed"/>
        <w:tblCellMar>
          <w:top w:w="28" w:type="dxa"/>
          <w:left w:w="28" w:type="dxa"/>
          <w:bottom w:w="28" w:type="dxa"/>
          <w:right w:w="28" w:type="dxa"/>
        </w:tblCellMar>
      </w:tblPr>
      <w:tblGrid>
        <w:gridCol w:w="188"/>
        <w:gridCol w:w="166"/>
        <w:gridCol w:w="167"/>
        <w:gridCol w:w="495"/>
        <w:gridCol w:w="495"/>
        <w:gridCol w:w="70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07"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29" descr=""/>
                          <pic:cNvPicPr>
                            <a:picLocks noChangeAspect="1" noChangeArrowheads="1"/>
                          </pic:cNvPicPr>
                        </pic:nvPicPr>
                        <pic:blipFill>
                          <a:blip r:embed="rId230"/>
                          <a:stretch>
                            <a:fillRect/>
                          </a:stretch>
                        </pic:blipFill>
                        <pic:spPr bwMode="auto">
                          <a:xfrm>
                            <a:off x="0" y="0"/>
                            <a:ext cx="228600" cy="180975"/>
                          </a:xfrm>
                          <a:prstGeom prst="rect">
                            <a:avLst/>
                          </a:prstGeom>
                        </pic:spPr>
                      </pic:pic>
                    </a:graphicData>
                  </a:graphic>
                </wp:inline>
              </w:drawing>
            </w:r>
            <w:r>
              <w:rPr>
                <w:color w:val="000000"/>
              </w:rPr>
              <w:t> </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tables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Lato;sans-serif" w:hAnsi="Lato;sans-serif"/>
          <w:b w:val="false"/>
          <w:i/>
          <w:color w:val="000000"/>
          <w:sz w:val="19"/>
        </w:rPr>
        <w:t>All Other Compensation.</w:t>
      </w:r>
      <w:r>
        <w:rPr>
          <w:color w:val="000000"/>
        </w:rPr>
        <w:t xml:space="preserve"> </w:t>
      </w:r>
      <w:r>
        <w:rPr>
          <w:rFonts w:ascii="Lato;sans-serif" w:hAnsi="Lato;sans-serif"/>
          <w:b w:val="false"/>
          <w:color w:val="000000"/>
          <w:sz w:val="19"/>
        </w:rPr>
        <w:t>All other compensation consists of the following:</w:t>
      </w:r>
    </w:p>
    <w:tbl>
      <w:tblPr>
        <w:tblW w:w="8392" w:type="dxa"/>
        <w:jc w:val="left"/>
        <w:tblInd w:w="0" w:type="dxa"/>
        <w:tblLayout w:type="fixed"/>
        <w:tblCellMar>
          <w:top w:w="28" w:type="dxa"/>
          <w:left w:w="28" w:type="dxa"/>
          <w:bottom w:w="28" w:type="dxa"/>
          <w:right w:w="28" w:type="dxa"/>
        </w:tblCellMar>
      </w:tblPr>
      <w:tblGrid>
        <w:gridCol w:w="660"/>
        <w:gridCol w:w="583"/>
        <w:gridCol w:w="586"/>
        <w:gridCol w:w="200"/>
        <w:gridCol w:w="200"/>
        <w:gridCol w:w="201"/>
        <w:gridCol w:w="473"/>
        <w:gridCol w:w="473"/>
        <w:gridCol w:w="446"/>
        <w:gridCol w:w="545"/>
        <w:gridCol w:w="545"/>
        <w:gridCol w:w="546"/>
        <w:gridCol w:w="564"/>
        <w:gridCol w:w="564"/>
        <w:gridCol w:w="566"/>
        <w:gridCol w:w="473"/>
        <w:gridCol w:w="473"/>
        <w:gridCol w:w="294"/>
      </w:tblGrid>
      <w:tr>
        <w:trPr/>
        <w:tc>
          <w:tcPr>
            <w:tcW w:w="6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Name</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Year</w:t>
            </w:r>
          </w:p>
        </w:tc>
        <w:tc>
          <w:tcPr>
            <w:tcW w:w="139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Perquisites</w:t>
            </w:r>
          </w:p>
          <w:p>
            <w:pPr>
              <w:pStyle w:val="TableContents"/>
              <w:bidi w:val="0"/>
              <w:spacing w:lineRule="auto" w:line="288" w:before="0" w:after="0"/>
              <w:jc w:val="right"/>
              <w:rPr/>
            </w:pPr>
            <w:r>
              <w:rPr>
                <w:rFonts w:ascii="Lato Bold;sans-serif" w:hAnsi="Lato Bold;sans-serif"/>
                <w:b/>
                <w:color w:val="000000"/>
                <w:sz w:val="19"/>
              </w:rPr>
              <w:t>($)</w:t>
            </w:r>
            <w:r>
              <w:rPr>
                <w:rFonts w:ascii="Lato Bold;sans-serif" w:hAnsi="Lato Bold;sans-serif"/>
                <w:b/>
                <w:color w:val="000000"/>
                <w:sz w:val="12"/>
              </w:rPr>
              <w:t>(1)</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Defined</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Contribution</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Plan Amounts</w:t>
            </w:r>
          </w:p>
          <w:p>
            <w:pPr>
              <w:pStyle w:val="TableContents"/>
              <w:bidi w:val="0"/>
              <w:spacing w:lineRule="auto" w:line="288" w:before="0" w:after="0"/>
              <w:jc w:val="right"/>
              <w:rPr/>
            </w:pPr>
            <w:r>
              <w:rPr>
                <w:rFonts w:ascii="Lato Bold;sans-serif" w:hAnsi="Lato Bold;sans-serif"/>
                <w:b/>
                <w:color w:val="000000"/>
                <w:sz w:val="19"/>
              </w:rPr>
              <w:t>($)</w:t>
            </w:r>
            <w:r>
              <w:rPr>
                <w:rFonts w:ascii="Lato Bold;sans-serif" w:hAnsi="Lato Bold;sans-serif"/>
                <w:b/>
                <w:color w:val="000000"/>
                <w:sz w:val="12"/>
              </w:rPr>
              <w:t>(2)</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Tax Gross-Ups</w:t>
            </w:r>
          </w:p>
          <w:p>
            <w:pPr>
              <w:pStyle w:val="TableContents"/>
              <w:bidi w:val="0"/>
              <w:spacing w:lineRule="auto" w:line="288" w:before="0" w:after="0"/>
              <w:jc w:val="right"/>
              <w:rPr/>
            </w:pPr>
            <w:r>
              <w:rPr>
                <w:rFonts w:ascii="Lato Bold;sans-serif" w:hAnsi="Lato Bold;sans-serif"/>
                <w:b/>
                <w:color w:val="000000"/>
                <w:sz w:val="19"/>
              </w:rPr>
              <w:t>$</w:t>
            </w:r>
            <w:r>
              <w:rPr>
                <w:rFonts w:ascii="Lato Bold;sans-serif" w:hAnsi="Lato Bold;sans-serif"/>
                <w:b/>
                <w:color w:val="000000"/>
                <w:sz w:val="12"/>
              </w:rPr>
              <w:t>(3)</w:t>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Total</w:t>
              <w:br/>
              <w:t>($)</w:t>
            </w:r>
          </w:p>
        </w:tc>
      </w:tr>
      <w:tr>
        <w:trPr/>
        <w:tc>
          <w:tcPr>
            <w:tcW w:w="182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Michael D. Hsu</w:t>
            </w:r>
          </w:p>
        </w:tc>
        <w:tc>
          <w:tcPr>
            <w:tcW w:w="601"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94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163,796 </w:t>
            </w:r>
          </w:p>
        </w:tc>
        <w:tc>
          <w:tcPr>
            <w:tcW w:w="44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477,547 </w:t>
            </w:r>
          </w:p>
        </w:tc>
        <w:tc>
          <w:tcPr>
            <w:tcW w:w="54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641,343 </w:t>
            </w:r>
          </w:p>
        </w:tc>
        <w:tc>
          <w:tcPr>
            <w:tcW w:w="294"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363,496 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362,845 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726,341 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158,251 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217,066 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375,317 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restart"/>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Nelson Urdaneta</w:t>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13,000 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214,803 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227,803 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344,335 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143,258 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16,129 </w:t>
            </w:r>
          </w:p>
        </w:tc>
        <w:tc>
          <w:tcPr>
            <w:tcW w:w="5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503,722 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61,970 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35,928 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40,206 </w:t>
            </w:r>
          </w:p>
        </w:tc>
        <w:tc>
          <w:tcPr>
            <w:tcW w:w="5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138,104 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restart"/>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Jeffrey Melucci</w:t>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17,862 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184,851 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202,713 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16,697 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154,694 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171,391 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13,000 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97,570 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110,570 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restart"/>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Zackery Hicks</w:t>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13,000 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234,458 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247,458 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18,663 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141,256 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159,919 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32,873 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32,873 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Russell Torres</w:t>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2024</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17,295 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190,681 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207,976 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2023</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17,295 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142,441 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159,736 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2022</w:t>
            </w:r>
          </w:p>
        </w:tc>
        <w:tc>
          <w:tcPr>
            <w:tcW w:w="94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32,900 </w:t>
            </w:r>
          </w:p>
        </w:tc>
        <w:tc>
          <w:tcPr>
            <w:tcW w:w="44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96,547 </w:t>
            </w:r>
          </w:p>
        </w:tc>
        <w:tc>
          <w:tcPr>
            <w:tcW w:w="54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12,411 </w:t>
            </w:r>
          </w:p>
        </w:tc>
        <w:tc>
          <w:tcPr>
            <w:tcW w:w="56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141,858 </w:t>
            </w:r>
          </w:p>
        </w:tc>
        <w:tc>
          <w:tcPr>
            <w:tcW w:w="294"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(1)</w:t>
      </w:r>
      <w:r>
        <w:rPr>
          <w:rFonts w:ascii="Lato;sans-serif" w:hAnsi="Lato;sans-serif"/>
          <w:b w:val="false"/>
          <w:i/>
          <w:color w:val="000000"/>
          <w:sz w:val="16"/>
        </w:rPr>
        <w:t xml:space="preserve">Perquisites. </w:t>
      </w:r>
      <w:r>
        <w:rPr>
          <w:rFonts w:ascii="Lato;sans-serif" w:hAnsi="Lato;sans-serif"/>
          <w:b w:val="false"/>
          <w:color w:val="000000"/>
          <w:sz w:val="16"/>
        </w:rPr>
        <w:t>For a description of the perquisites we provide executive officers, and the reasons why, see “Compensation Discussion and Analysis – Benefits and Other Compensation – Other Compensation.” Perquisites for our named executive officers in 2024 included the following:</w:t>
      </w:r>
    </w:p>
    <w:tbl>
      <w:tblPr>
        <w:tblW w:w="7746" w:type="dxa"/>
        <w:jc w:val="left"/>
        <w:tblInd w:w="0" w:type="dxa"/>
        <w:tblLayout w:type="fixed"/>
        <w:tblCellMar>
          <w:top w:w="28" w:type="dxa"/>
          <w:left w:w="28" w:type="dxa"/>
          <w:bottom w:w="28" w:type="dxa"/>
          <w:right w:w="28" w:type="dxa"/>
        </w:tblCellMar>
      </w:tblPr>
      <w:tblGrid>
        <w:gridCol w:w="600"/>
        <w:gridCol w:w="528"/>
        <w:gridCol w:w="536"/>
        <w:gridCol w:w="385"/>
        <w:gridCol w:w="385"/>
        <w:gridCol w:w="386"/>
        <w:gridCol w:w="594"/>
        <w:gridCol w:w="594"/>
        <w:gridCol w:w="596"/>
        <w:gridCol w:w="360"/>
        <w:gridCol w:w="361"/>
        <w:gridCol w:w="296"/>
        <w:gridCol w:w="345"/>
        <w:gridCol w:w="345"/>
        <w:gridCol w:w="346"/>
        <w:gridCol w:w="413"/>
        <w:gridCol w:w="413"/>
        <w:gridCol w:w="263"/>
      </w:tblGrid>
      <w:tr>
        <w:trPr/>
        <w:tc>
          <w:tcPr>
            <w:tcW w:w="60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Name</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Executive</w:t>
              <w:br/>
              <w:t>Financial</w:t>
              <w:br/>
              <w:t>Counseling</w:t>
              <w:br/>
              <w:t>Program</w:t>
              <w:br/>
              <w:t>($)</w:t>
            </w:r>
          </w:p>
        </w:tc>
        <w:tc>
          <w:tcPr>
            <w:tcW w:w="178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Personal</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Use of</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Corporate Aircraft</w:t>
            </w:r>
          </w:p>
          <w:p>
            <w:pPr>
              <w:pStyle w:val="TableContents"/>
              <w:bidi w:val="0"/>
              <w:spacing w:lineRule="auto" w:line="288" w:before="0" w:after="0"/>
              <w:jc w:val="right"/>
              <w:rPr/>
            </w:pPr>
            <w:r>
              <w:rPr>
                <w:rFonts w:ascii="Lato Bold;sans-serif" w:hAnsi="Lato Bold;sans-serif"/>
                <w:b/>
                <w:color w:val="000000"/>
                <w:sz w:val="16"/>
              </w:rPr>
              <w:t>($)</w:t>
            </w:r>
            <w:r>
              <w:rPr>
                <w:rFonts w:ascii="Lato Bold;sans-serif" w:hAnsi="Lato Bold;sans-serif"/>
                <w:b/>
                <w:color w:val="000000"/>
                <w:sz w:val="10"/>
              </w:rPr>
              <w:t>(a)</w:t>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Security</w:t>
              <w:br/>
              <w:t>Services</w:t>
              <w:br/>
              <w: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Executive</w:t>
              <w:br/>
              <w:t>Health</w:t>
              <w:br/>
              <w:t>Screening</w:t>
              <w:br/>
              <w:t>Program</w:t>
              <w:br/>
              <w:t>($)</w:t>
            </w:r>
          </w:p>
        </w:tc>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Total</w:t>
              <w:br/>
              <w:t>($)</w:t>
            </w:r>
          </w:p>
        </w:tc>
      </w:tr>
      <w:tr>
        <w:trPr/>
        <w:tc>
          <w:tcPr>
            <w:tcW w:w="1664"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Michael D. Hsu</w:t>
            </w:r>
          </w:p>
        </w:tc>
        <w:tc>
          <w:tcPr>
            <w:tcW w:w="770"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134,371 </w:t>
            </w:r>
          </w:p>
        </w:tc>
        <w:tc>
          <w:tcPr>
            <w:tcW w:w="59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24,012 </w:t>
            </w:r>
          </w:p>
        </w:tc>
        <w:tc>
          <w:tcPr>
            <w:tcW w:w="29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5,413 </w:t>
            </w:r>
          </w:p>
        </w:tc>
        <w:tc>
          <w:tcPr>
            <w:tcW w:w="34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163,796 </w:t>
            </w:r>
          </w:p>
        </w:tc>
        <w:tc>
          <w:tcPr>
            <w:tcW w:w="263"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Nelson Urdaneta</w:t>
            </w:r>
          </w:p>
        </w:tc>
        <w:tc>
          <w:tcPr>
            <w:tcW w:w="7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13,000 </w:t>
            </w:r>
          </w:p>
        </w:tc>
        <w:tc>
          <w:tcPr>
            <w:tcW w:w="3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13,000 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Jeffrey Melucci</w:t>
            </w:r>
          </w:p>
        </w:tc>
        <w:tc>
          <w:tcPr>
            <w:tcW w:w="7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13,000 </w:t>
            </w:r>
          </w:p>
        </w:tc>
        <w:tc>
          <w:tcPr>
            <w:tcW w:w="3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4,862 </w:t>
            </w:r>
          </w:p>
        </w:tc>
        <w:tc>
          <w:tcPr>
            <w:tcW w:w="3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17,862 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Zackery Hicks</w:t>
            </w:r>
          </w:p>
        </w:tc>
        <w:tc>
          <w:tcPr>
            <w:tcW w:w="77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13,000 </w:t>
            </w:r>
          </w:p>
        </w:tc>
        <w:tc>
          <w:tcPr>
            <w:tcW w:w="38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13,000 </w:t>
            </w:r>
          </w:p>
        </w:tc>
        <w:tc>
          <w:tcPr>
            <w:tcW w:w="2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Russell Torres</w:t>
            </w:r>
          </w:p>
        </w:tc>
        <w:tc>
          <w:tcPr>
            <w:tcW w:w="770"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13,000 </w:t>
            </w:r>
          </w:p>
        </w:tc>
        <w:tc>
          <w:tcPr>
            <w:tcW w:w="38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9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4,295 </w:t>
            </w:r>
          </w:p>
        </w:tc>
        <w:tc>
          <w:tcPr>
            <w:tcW w:w="34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17,295 </w:t>
            </w:r>
          </w:p>
        </w:tc>
        <w:tc>
          <w:tcPr>
            <w:tcW w:w="263"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(a)</w:t>
      </w:r>
      <w:r>
        <w:rPr>
          <w:rFonts w:ascii="Lato;sans-serif" w:hAnsi="Lato;sans-serif"/>
          <w:b w:val="false"/>
          <w:color w:val="000000"/>
          <w:sz w:val="16"/>
        </w:rPr>
        <w:t>The amount shown for personal use of our aircraft is our incremental cost of operating the aircraft. The incremental cost of personal travel on our corporate aircraft is based on our variable cost per hour of operating the aircraft multiplied by the number of hours of personal travel. Incremental costs include fuel, maintenance, flight crew travel costs, catering, supplies, landing and parking fees. Non-variable costs that would have been incurred regardless of whether there was any personal use of the aircraft are excluded.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629920"/>
                <wp:effectExtent l="0" t="0" r="0" b="0"/>
                <wp:wrapNone/>
                <wp:docPr id="308" name="Frame7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73</w:t>
                            </w:r>
                          </w:p>
                        </w:tc>
                      </w:tr>
                    </w:tbl>
                    <w:p>
                      <w:pPr>
                        <w:pStyle w:val="TextBody"/>
                        <w:bidi w:val="0"/>
                        <w:spacing w:before="0" w:after="283"/>
                        <w:jc w:val="left"/>
                        <w:rPr/>
                      </w:pPr>
                      <w:r>
                        <w:rPr/>
                      </w:r>
                    </w:p>
                  </w:txbxContent>
                </v:textbox>
                <w10:wrap type="none"/>
              </v:rect>
            </w:pict>
          </mc:Fallback>
        </mc:AlternateContent>
      </w:r>
    </w:p>
    <w:tbl>
      <w:tblPr>
        <w:tblW w:w="2216" w:type="dxa"/>
        <w:jc w:val="left"/>
        <w:tblInd w:w="0" w:type="dxa"/>
        <w:tblLayout w:type="fixed"/>
        <w:tblCellMar>
          <w:top w:w="28" w:type="dxa"/>
          <w:left w:w="28" w:type="dxa"/>
          <w:bottom w:w="28" w:type="dxa"/>
          <w:right w:w="28" w:type="dxa"/>
        </w:tblCellMar>
      </w:tblPr>
      <w:tblGrid>
        <w:gridCol w:w="603"/>
        <w:gridCol w:w="530"/>
        <w:gridCol w:w="532"/>
        <w:gridCol w:w="161"/>
        <w:gridCol w:w="161"/>
        <w:gridCol w:w="22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Compensation tables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09"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30" descr=""/>
                          <pic:cNvPicPr>
                            <a:picLocks noChangeAspect="1" noChangeArrowheads="1"/>
                          </pic:cNvPicPr>
                        </pic:nvPicPr>
                        <pic:blipFill>
                          <a:blip r:embed="rId231"/>
                          <a:stretch>
                            <a:fillRect/>
                          </a:stretch>
                        </pic:blipFill>
                        <pic:spPr bwMode="auto">
                          <a:xfrm>
                            <a:off x="0" y="0"/>
                            <a:ext cx="228600" cy="180975"/>
                          </a:xfrm>
                          <a:prstGeom prst="rect">
                            <a:avLst/>
                          </a:prstGeom>
                        </pic:spPr>
                      </pic:pic>
                    </a:graphicData>
                  </a:graphic>
                </wp:inline>
              </w:drawing>
            </w:r>
            <w:r>
              <w:rPr>
                <w:color w:val="000000"/>
              </w:rPr>
              <w:t> </w:t>
            </w:r>
          </w:p>
        </w:tc>
      </w:tr>
      <w:tr>
        <w:trPr/>
        <w:tc>
          <w:tcPr>
            <w:tcW w:w="166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(2)</w:t>
      </w:r>
      <w:r>
        <w:rPr>
          <w:rFonts w:ascii="Lato;sans-serif" w:hAnsi="Lato;sans-serif"/>
          <w:b w:val="false"/>
          <w:i/>
          <w:color w:val="000000"/>
          <w:sz w:val="16"/>
        </w:rPr>
        <w:t xml:space="preserve">Defined Contribution Plan Amounts. </w:t>
      </w:r>
      <w:r>
        <w:rPr>
          <w:rFonts w:ascii="Lato;sans-serif" w:hAnsi="Lato;sans-serif"/>
          <w:b w:val="false"/>
          <w:color w:val="000000"/>
          <w:sz w:val="16"/>
        </w:rPr>
        <w:t>Matching contributions were made under the 401(k) Profit Sharing Plan and accrued under the Supplemental 401(k) Plan in 2024, 2023 and 2022 for all named executive officers, as applicable. A profit-sharing contribution was also made under the 401(k) Profit Sharing Plan and the Supplemental 401(k) Plan in early 2025, 2024 and 2023 with respect to our performance in 2024, 2023 and 2022, respectively, for the named executive officers as follows:</w:t>
      </w:r>
    </w:p>
    <w:tbl>
      <w:tblPr>
        <w:tblW w:w="4842" w:type="dxa"/>
        <w:jc w:val="left"/>
        <w:tblInd w:w="0" w:type="dxa"/>
        <w:tblLayout w:type="fixed"/>
        <w:tblCellMar>
          <w:top w:w="28" w:type="dxa"/>
          <w:left w:w="28" w:type="dxa"/>
          <w:bottom w:w="28" w:type="dxa"/>
          <w:right w:w="28" w:type="dxa"/>
        </w:tblCellMar>
      </w:tblPr>
      <w:tblGrid>
        <w:gridCol w:w="600"/>
        <w:gridCol w:w="528"/>
        <w:gridCol w:w="536"/>
        <w:gridCol w:w="579"/>
        <w:gridCol w:w="579"/>
        <w:gridCol w:w="581"/>
        <w:gridCol w:w="421"/>
        <w:gridCol w:w="421"/>
        <w:gridCol w:w="597"/>
      </w:tblGrid>
      <w:tr>
        <w:trPr/>
        <w:tc>
          <w:tcPr>
            <w:tcW w:w="60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Name</w:t>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Performance Year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Profit Sharing</w:t>
              <w:br/>
              <w:t>Contribution</w:t>
              <w:br/>
              <w:t>($)</w:t>
            </w:r>
          </w:p>
        </w:tc>
      </w:tr>
      <w:tr>
        <w:trPr/>
        <w:tc>
          <w:tcPr>
            <w:tcW w:w="1664"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Michael D. Hsu</w:t>
            </w:r>
          </w:p>
        </w:tc>
        <w:tc>
          <w:tcPr>
            <w:tcW w:w="173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2024</w:t>
            </w:r>
          </w:p>
        </w:tc>
        <w:tc>
          <w:tcPr>
            <w:tcW w:w="842"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226,206 </w:t>
            </w:r>
          </w:p>
        </w:tc>
        <w:tc>
          <w:tcPr>
            <w:tcW w:w="597"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2023</w:t>
            </w:r>
          </w:p>
        </w:tc>
        <w:tc>
          <w:tcPr>
            <w:tcW w:w="8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183,219 </w:t>
            </w:r>
          </w:p>
        </w:tc>
        <w:tc>
          <w:tcPr>
            <w:tcW w:w="5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2022</w:t>
            </w:r>
          </w:p>
        </w:tc>
        <w:tc>
          <w:tcPr>
            <w:tcW w:w="8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102,821 </w:t>
            </w:r>
          </w:p>
        </w:tc>
        <w:tc>
          <w:tcPr>
            <w:tcW w:w="5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vMerge w:val="restart"/>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Nelson Urdaneta</w:t>
            </w:r>
          </w:p>
        </w:tc>
        <w:tc>
          <w:tcPr>
            <w:tcW w:w="17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2024</w:t>
            </w:r>
          </w:p>
        </w:tc>
        <w:tc>
          <w:tcPr>
            <w:tcW w:w="8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101,749 </w:t>
            </w:r>
          </w:p>
        </w:tc>
        <w:tc>
          <w:tcPr>
            <w:tcW w:w="5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7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2023</w:t>
            </w:r>
          </w:p>
        </w:tc>
        <w:tc>
          <w:tcPr>
            <w:tcW w:w="8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72,338 </w:t>
            </w:r>
          </w:p>
        </w:tc>
        <w:tc>
          <w:tcPr>
            <w:tcW w:w="5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7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2022</w:t>
            </w:r>
          </w:p>
        </w:tc>
        <w:tc>
          <w:tcPr>
            <w:tcW w:w="8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19,707 </w:t>
            </w:r>
          </w:p>
        </w:tc>
        <w:tc>
          <w:tcPr>
            <w:tcW w:w="5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vMerge w:val="restart"/>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Jeffrey Melucci</w:t>
            </w:r>
          </w:p>
        </w:tc>
        <w:tc>
          <w:tcPr>
            <w:tcW w:w="17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2024</w:t>
            </w:r>
          </w:p>
        </w:tc>
        <w:tc>
          <w:tcPr>
            <w:tcW w:w="8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87,561 </w:t>
            </w:r>
          </w:p>
        </w:tc>
        <w:tc>
          <w:tcPr>
            <w:tcW w:w="5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7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2023</w:t>
            </w:r>
          </w:p>
        </w:tc>
        <w:tc>
          <w:tcPr>
            <w:tcW w:w="8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78,113 </w:t>
            </w:r>
          </w:p>
        </w:tc>
        <w:tc>
          <w:tcPr>
            <w:tcW w:w="5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7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2022</w:t>
            </w:r>
          </w:p>
        </w:tc>
        <w:tc>
          <w:tcPr>
            <w:tcW w:w="8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45,733 </w:t>
            </w:r>
          </w:p>
        </w:tc>
        <w:tc>
          <w:tcPr>
            <w:tcW w:w="5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vMerge w:val="restart"/>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Zackery Hicks</w:t>
            </w:r>
          </w:p>
        </w:tc>
        <w:tc>
          <w:tcPr>
            <w:tcW w:w="17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2024</w:t>
            </w:r>
          </w:p>
        </w:tc>
        <w:tc>
          <w:tcPr>
            <w:tcW w:w="8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111,059 </w:t>
            </w:r>
          </w:p>
        </w:tc>
        <w:tc>
          <w:tcPr>
            <w:tcW w:w="5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7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2023</w:t>
            </w:r>
          </w:p>
        </w:tc>
        <w:tc>
          <w:tcPr>
            <w:tcW w:w="8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71,327 </w:t>
            </w:r>
          </w:p>
        </w:tc>
        <w:tc>
          <w:tcPr>
            <w:tcW w:w="5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7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2022</w:t>
            </w:r>
          </w:p>
        </w:tc>
        <w:tc>
          <w:tcPr>
            <w:tcW w:w="8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15,571 </w:t>
            </w:r>
          </w:p>
        </w:tc>
        <w:tc>
          <w:tcPr>
            <w:tcW w:w="5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Russell Torres</w:t>
            </w:r>
          </w:p>
        </w:tc>
        <w:tc>
          <w:tcPr>
            <w:tcW w:w="17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2024</w:t>
            </w:r>
          </w:p>
        </w:tc>
        <w:tc>
          <w:tcPr>
            <w:tcW w:w="8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90,322 </w:t>
            </w:r>
          </w:p>
        </w:tc>
        <w:tc>
          <w:tcPr>
            <w:tcW w:w="5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2023</w:t>
            </w:r>
          </w:p>
        </w:tc>
        <w:tc>
          <w:tcPr>
            <w:tcW w:w="8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71,926 </w:t>
            </w:r>
          </w:p>
        </w:tc>
        <w:tc>
          <w:tcPr>
            <w:tcW w:w="59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2022</w:t>
            </w:r>
          </w:p>
        </w:tc>
        <w:tc>
          <w:tcPr>
            <w:tcW w:w="842"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44,462 </w:t>
            </w:r>
          </w:p>
        </w:tc>
        <w:tc>
          <w:tcPr>
            <w:tcW w:w="597"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jc w:val="left"/>
        <w:rPr>
          <w:rFonts w:ascii="Lato;sans-serif" w:hAnsi="Lato;sans-serif"/>
          <w:b w:val="false"/>
          <w:color w:val="000000"/>
          <w:sz w:val="16"/>
        </w:rPr>
      </w:pPr>
      <w:r>
        <w:rPr>
          <w:rFonts w:ascii="Lato;sans-serif" w:hAnsi="Lato;sans-serif"/>
          <w:b w:val="false"/>
          <w:color w:val="000000"/>
          <w:sz w:val="16"/>
        </w:rPr>
        <w:t>See “Nonqualified Deferred Compensation” for a discussion of these plans. The profit sharing contribution varies depending on our performance for the applicable year, contributing to fluctuations from year to year in the amounts in the All Other Compensation column.</w:t>
      </w:r>
    </w:p>
    <w:p>
      <w:pPr>
        <w:pStyle w:val="TextBody"/>
        <w:bidi w:val="0"/>
        <w:spacing w:lineRule="auto" w:line="312" w:before="80" w:after="80"/>
        <w:ind w:left="0" w:right="0" w:hanging="216"/>
        <w:jc w:val="left"/>
        <w:rPr/>
      </w:pPr>
      <w:r>
        <w:rPr>
          <w:rFonts w:ascii="Lato;sans-serif" w:hAnsi="Lato;sans-serif"/>
          <w:b w:val="false"/>
          <w:color w:val="000000"/>
          <w:sz w:val="10"/>
        </w:rPr>
        <w:t>(3)</w:t>
      </w:r>
      <w:r>
        <w:rPr>
          <w:rFonts w:ascii="Lato;sans-serif" w:hAnsi="Lato;sans-serif"/>
          <w:b w:val="false"/>
          <w:i/>
          <w:color w:val="000000"/>
          <w:sz w:val="16"/>
        </w:rPr>
        <w:t>Tax Gross Ups.</w:t>
      </w:r>
      <w:r>
        <w:rPr>
          <w:color w:val="000000"/>
        </w:rPr>
        <w:t xml:space="preserve"> </w:t>
      </w:r>
      <w:r>
        <w:rPr>
          <w:rFonts w:ascii="Lato;sans-serif" w:hAnsi="Lato;sans-serif"/>
          <w:b w:val="false"/>
          <w:color w:val="000000"/>
          <w:sz w:val="16"/>
        </w:rPr>
        <w:t>The amounts shown for Mr. Urdaneta and Mr. Torres reflect tax reimbursement for moving and related expenses, (1) in the case of Mr. Urdaneta, in connection with his joining the company in 2022 and (2) in the case of Mr. Torres, in connection with his joining the company in 2020 and also in connection with his promotion to Group President, K-C North America in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629920"/>
                <wp:effectExtent l="0" t="0" r="0" b="0"/>
                <wp:wrapNone/>
                <wp:docPr id="310" name="Frame8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74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74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215" w:type="dxa"/>
        <w:jc w:val="left"/>
        <w:tblInd w:w="0" w:type="dxa"/>
        <w:tblLayout w:type="fixed"/>
        <w:tblCellMar>
          <w:top w:w="28" w:type="dxa"/>
          <w:left w:w="28" w:type="dxa"/>
          <w:bottom w:w="28" w:type="dxa"/>
          <w:right w:w="28" w:type="dxa"/>
        </w:tblCellMar>
      </w:tblPr>
      <w:tblGrid>
        <w:gridCol w:w="188"/>
        <w:gridCol w:w="166"/>
        <w:gridCol w:w="167"/>
        <w:gridCol w:w="495"/>
        <w:gridCol w:w="495"/>
        <w:gridCol w:w="70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1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31" descr=""/>
                          <pic:cNvPicPr>
                            <a:picLocks noChangeAspect="1" noChangeArrowheads="1"/>
                          </pic:cNvPicPr>
                        </pic:nvPicPr>
                        <pic:blipFill>
                          <a:blip r:embed="rId232"/>
                          <a:stretch>
                            <a:fillRect/>
                          </a:stretch>
                        </pic:blipFill>
                        <pic:spPr bwMode="auto">
                          <a:xfrm>
                            <a:off x="0" y="0"/>
                            <a:ext cx="228600" cy="180975"/>
                          </a:xfrm>
                          <a:prstGeom prst="rect">
                            <a:avLst/>
                          </a:prstGeom>
                        </pic:spPr>
                      </pic:pic>
                    </a:graphicData>
                  </a:graphic>
                </wp:inline>
              </w:drawing>
            </w:r>
            <w:r>
              <w:rPr>
                <w:color w:val="000000"/>
              </w:rPr>
              <w:t> </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tables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Grants of Plan-Based Awards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following table sets forth plan-based awards granted to our named executive officers during 2024 on a grant-by-grant basis.</w:t>
      </w:r>
    </w:p>
    <w:p>
      <w:pPr>
        <w:pStyle w:val="TextBody"/>
        <w:bidi w:val="0"/>
        <w:spacing w:lineRule="auto" w:line="288" w:before="0" w:after="0"/>
        <w:jc w:val="left"/>
        <w:rPr>
          <w:rFonts w:ascii="Lato Bold;sans-serif" w:hAnsi="Lato Bold;sans-serif"/>
          <w:b/>
          <w:color w:val="000000"/>
          <w:sz w:val="22"/>
        </w:rPr>
      </w:pPr>
      <w:r>
        <w:rPr>
          <w:rFonts w:ascii="Lato Bold;sans-serif" w:hAnsi="Lato Bold;sans-serif"/>
          <w:b/>
          <w:color w:val="000000"/>
          <w:sz w:val="22"/>
        </w:rPr>
        <w:t>Grants of Plan-Based Awards in 2024</w:t>
      </w:r>
    </w:p>
    <w:tbl>
      <w:tblPr>
        <w:tblW w:w="12209" w:type="dxa"/>
        <w:jc w:val="left"/>
        <w:tblInd w:w="0" w:type="dxa"/>
        <w:tblLayout w:type="fixed"/>
        <w:tblCellMar>
          <w:top w:w="28" w:type="dxa"/>
          <w:left w:w="28" w:type="dxa"/>
          <w:bottom w:w="28" w:type="dxa"/>
          <w:right w:w="28" w:type="dxa"/>
        </w:tblCellMar>
      </w:tblPr>
      <w:tblGrid>
        <w:gridCol w:w="423"/>
        <w:gridCol w:w="267"/>
        <w:gridCol w:w="271"/>
        <w:gridCol w:w="479"/>
        <w:gridCol w:w="479"/>
        <w:gridCol w:w="303"/>
        <w:gridCol w:w="205"/>
        <w:gridCol w:w="205"/>
        <w:gridCol w:w="206"/>
        <w:gridCol w:w="350"/>
        <w:gridCol w:w="350"/>
        <w:gridCol w:w="351"/>
        <w:gridCol w:w="488"/>
        <w:gridCol w:w="488"/>
        <w:gridCol w:w="280"/>
        <w:gridCol w:w="488"/>
        <w:gridCol w:w="488"/>
        <w:gridCol w:w="333"/>
        <w:gridCol w:w="109"/>
        <w:gridCol w:w="109"/>
        <w:gridCol w:w="109"/>
        <w:gridCol w:w="350"/>
        <w:gridCol w:w="350"/>
        <w:gridCol w:w="351"/>
        <w:gridCol w:w="360"/>
        <w:gridCol w:w="361"/>
        <w:gridCol w:w="280"/>
        <w:gridCol w:w="360"/>
        <w:gridCol w:w="361"/>
        <w:gridCol w:w="333"/>
        <w:gridCol w:w="446"/>
        <w:gridCol w:w="275"/>
        <w:gridCol w:w="276"/>
        <w:gridCol w:w="488"/>
        <w:gridCol w:w="488"/>
        <w:gridCol w:w="349"/>
      </w:tblGrid>
      <w:tr>
        <w:trPr/>
        <w:tc>
          <w:tcPr>
            <w:tcW w:w="4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61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Lato Bold;sans-serif" w:hAnsi="Lato Bold;sans-serif"/>
                <w:b/>
                <w:color w:val="000000"/>
                <w:sz w:val="16"/>
              </w:rPr>
            </w:pPr>
            <w:r>
              <w:rPr>
                <w:rFonts w:ascii="Lato Bold;sans-serif" w:hAnsi="Lato Bold;sans-serif"/>
                <w:b/>
                <w:color w:val="000000"/>
                <w:sz w:val="16"/>
              </w:rPr>
              <w:t>Estimated Future Payouts</w:t>
            </w:r>
          </w:p>
          <w:p>
            <w:pPr>
              <w:pStyle w:val="TableContents"/>
              <w:bidi w:val="0"/>
              <w:spacing w:lineRule="auto" w:line="288" w:before="0" w:after="0"/>
              <w:jc w:val="center"/>
              <w:rPr>
                <w:rFonts w:ascii="Lato Bold;sans-serif" w:hAnsi="Lato Bold;sans-serif"/>
                <w:b/>
                <w:color w:val="000000"/>
                <w:sz w:val="16"/>
              </w:rPr>
            </w:pPr>
            <w:r>
              <w:rPr>
                <w:rFonts w:ascii="Lato Bold;sans-serif" w:hAnsi="Lato Bold;sans-serif"/>
                <w:b/>
                <w:color w:val="000000"/>
                <w:sz w:val="16"/>
              </w:rPr>
              <w:t>Under Non-Equity</w:t>
            </w:r>
          </w:p>
          <w:p>
            <w:pPr>
              <w:pStyle w:val="TableContents"/>
              <w:bidi w:val="0"/>
              <w:spacing w:lineRule="auto" w:line="288" w:before="0" w:after="0"/>
              <w:jc w:val="center"/>
              <w:rPr/>
            </w:pPr>
            <w:r>
              <w:rPr>
                <w:rFonts w:ascii="Lato Bold;sans-serif" w:hAnsi="Lato Bold;sans-serif"/>
                <w:b/>
                <w:color w:val="000000"/>
                <w:sz w:val="16"/>
              </w:rPr>
              <w:t>Incentive Plan Awards</w:t>
            </w:r>
            <w:r>
              <w:rPr>
                <w:rFonts w:ascii="Lato Bold;sans-serif" w:hAnsi="Lato Bold;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Lato Bold;sans-serif" w:hAnsi="Lato Bold;sans-serif"/>
                <w:b/>
                <w:color w:val="000000"/>
                <w:sz w:val="16"/>
              </w:rPr>
            </w:pPr>
            <w:r>
              <w:rPr>
                <w:rFonts w:ascii="Lato Bold;sans-serif" w:hAnsi="Lato Bold;sans-serif"/>
                <w:b/>
                <w:color w:val="000000"/>
                <w:sz w:val="16"/>
              </w:rPr>
              <w:t>Estimated Future Payouts</w:t>
            </w:r>
          </w:p>
          <w:p>
            <w:pPr>
              <w:pStyle w:val="TableContents"/>
              <w:bidi w:val="0"/>
              <w:spacing w:lineRule="auto" w:line="288" w:before="0" w:after="0"/>
              <w:jc w:val="center"/>
              <w:rPr>
                <w:rFonts w:ascii="Lato Bold;sans-serif" w:hAnsi="Lato Bold;sans-serif"/>
                <w:b/>
                <w:color w:val="000000"/>
                <w:sz w:val="16"/>
              </w:rPr>
            </w:pPr>
            <w:r>
              <w:rPr>
                <w:rFonts w:ascii="Lato Bold;sans-serif" w:hAnsi="Lato Bold;sans-serif"/>
                <w:b/>
                <w:color w:val="000000"/>
                <w:sz w:val="16"/>
              </w:rPr>
              <w:t>Under Equity Incentive</w:t>
            </w:r>
          </w:p>
          <w:p>
            <w:pPr>
              <w:pStyle w:val="TableContents"/>
              <w:bidi w:val="0"/>
              <w:spacing w:lineRule="auto" w:line="288" w:before="0" w:after="0"/>
              <w:jc w:val="center"/>
              <w:rPr/>
            </w:pPr>
            <w:r>
              <w:rPr>
                <w:rFonts w:ascii="Lato Bold;sans-serif" w:hAnsi="Lato Bold;sans-serif"/>
                <w:b/>
                <w:color w:val="000000"/>
                <w:sz w:val="16"/>
              </w:rPr>
              <w:t>Plan Awards</w:t>
            </w:r>
            <w:r>
              <w:rPr>
                <w:rFonts w:ascii="Lato Bold;sans-serif" w:hAnsi="Lato Bold;sans-serif"/>
                <w:b/>
                <w:color w:val="000000"/>
                <w:sz w:val="10"/>
              </w:rPr>
              <w:t>(2)</w:t>
            </w:r>
          </w:p>
        </w:tc>
        <w:tc>
          <w:tcPr>
            <w:tcW w:w="99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All Other</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Stock</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Awards:</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Number of</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Shares of Stock or Units</w:t>
            </w:r>
          </w:p>
          <w:p>
            <w:pPr>
              <w:pStyle w:val="TableContents"/>
              <w:bidi w:val="0"/>
              <w:spacing w:lineRule="auto" w:line="288" w:before="0" w:after="0"/>
              <w:jc w:val="right"/>
              <w:rPr/>
            </w:pPr>
            <w:r>
              <w:rPr>
                <w:rFonts w:ascii="Lato Bold;sans-serif" w:hAnsi="Lato Bold;sans-serif"/>
                <w:b/>
                <w:color w:val="000000"/>
                <w:sz w:val="16"/>
              </w:rPr>
              <w:t>(#)</w:t>
            </w:r>
            <w:r>
              <w:rPr>
                <w:rFonts w:ascii="Lato Bold;sans-serif" w:hAnsi="Lato Bold;sans-serif"/>
                <w:b/>
                <w:color w:val="000000"/>
                <w:sz w:val="10"/>
              </w:rPr>
              <w:t>(3)</w:t>
            </w:r>
          </w:p>
        </w:tc>
        <w:tc>
          <w:tcPr>
            <w:tcW w:w="1325"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Grant</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Date Fair</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Value of</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Stock and</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Option</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Awards</w:t>
            </w:r>
          </w:p>
          <w:p>
            <w:pPr>
              <w:pStyle w:val="TableContents"/>
              <w:bidi w:val="0"/>
              <w:spacing w:lineRule="auto" w:line="288" w:before="0" w:after="0"/>
              <w:jc w:val="right"/>
              <w:rPr/>
            </w:pPr>
            <w:r>
              <w:rPr>
                <w:rFonts w:ascii="Lato Bold;sans-serif" w:hAnsi="Lato Bold;sans-serif"/>
                <w:b/>
                <w:color w:val="000000"/>
                <w:sz w:val="16"/>
              </w:rPr>
              <w:t>($)</w:t>
            </w:r>
            <w:r>
              <w:rPr>
                <w:rFonts w:ascii="Lato Bold;sans-serif" w:hAnsi="Lato Bold;sans-serif"/>
                <w:b/>
                <w:color w:val="000000"/>
                <w:sz w:val="10"/>
              </w:rPr>
              <w:t>(4)</w:t>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Name</w:t>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Grant Type</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Grant</w:t>
              <w:br/>
              <w:t>Date</w:t>
            </w:r>
          </w:p>
        </w:tc>
        <w:tc>
          <w:tcPr>
            <w:tcW w:w="1051"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Threshold</w:t>
              <w:br/>
              <w:t>($)</w:t>
            </w:r>
          </w:p>
        </w:tc>
        <w:tc>
          <w:tcPr>
            <w:tcW w:w="125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Target</w:t>
              <w:br/>
              <w:t>($)</w:t>
            </w:r>
          </w:p>
        </w:tc>
        <w:tc>
          <w:tcPr>
            <w:tcW w:w="130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Threshold</w:t>
              <w:br/>
              <w:t>(#)</w:t>
            </w:r>
          </w:p>
        </w:tc>
        <w:tc>
          <w:tcPr>
            <w:tcW w:w="1001"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Target</w:t>
              <w:br/>
              <w:t>(#)</w:t>
            </w:r>
          </w:p>
        </w:tc>
        <w:tc>
          <w:tcPr>
            <w:tcW w:w="1054"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Maximum</w:t>
              <w:br/>
              <w:t>(#)</w:t>
            </w:r>
          </w:p>
        </w:tc>
        <w:tc>
          <w:tcPr>
            <w:tcW w:w="997" w:type="dxa"/>
            <w:gridSpan w:val="3"/>
            <w:vMerge w:val="continue"/>
            <w:tcBorders/>
            <w:tcMar>
              <w:top w:w="0" w:type="dxa"/>
              <w:left w:w="0" w:type="dxa"/>
              <w:bottom w:w="0" w:type="dxa"/>
              <w:right w:w="0" w:type="dxa"/>
            </w:tcMar>
            <w:vAlign w:val="center"/>
          </w:tcPr>
          <w:p>
            <w:pPr>
              <w:pStyle w:val="Normal"/>
              <w:bidi w:val="0"/>
              <w:jc w:val="left"/>
              <w:rPr/>
            </w:pPr>
            <w:r>
              <w:rPr/>
            </w:r>
          </w:p>
        </w:tc>
        <w:tc>
          <w:tcPr>
            <w:tcW w:w="13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61" w:type="dxa"/>
            <w:gridSpan w:val="3"/>
            <w:vMerge w:val="restart"/>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Michael D. Hsu</w:t>
            </w:r>
          </w:p>
        </w:tc>
        <w:tc>
          <w:tcPr>
            <w:tcW w:w="1261"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 xml:space="preserve">Annual cash </w:t>
              <w:br/>
              <w:t>incentive award</w:t>
            </w:r>
          </w:p>
        </w:tc>
        <w:tc>
          <w:tcPr>
            <w:tcW w:w="616"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2,625,000 </w:t>
            </w:r>
          </w:p>
        </w:tc>
        <w:tc>
          <w:tcPr>
            <w:tcW w:w="280"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5,250,000 </w:t>
            </w:r>
          </w:p>
        </w:tc>
        <w:tc>
          <w:tcPr>
            <w:tcW w:w="333"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8" w:space="0" w:color="0046C8"/>
            </w:tcBorders>
            <w:tcMar>
              <w:top w:w="30" w:type="dxa"/>
              <w:left w:w="0" w:type="dxa"/>
              <w:bottom w:w="0" w:type="dxa"/>
              <w:right w:w="0" w:type="dxa"/>
            </w:tcMar>
            <w:vAlign w:val="center"/>
          </w:tcPr>
          <w:p>
            <w:pPr>
              <w:pStyle w:val="Normal"/>
              <w:bidi w:val="0"/>
              <w:jc w:val="left"/>
              <w:rPr/>
            </w:pPr>
            <w:r>
              <w:rPr/>
            </w:r>
          </w:p>
        </w:tc>
        <w:tc>
          <w:tcPr>
            <w:tcW w:w="12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Performance-</w:t>
              <w:br/>
              <w:t>based RSU</w:t>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48,362 </w:t>
            </w:r>
          </w:p>
        </w:tc>
        <w:tc>
          <w:tcPr>
            <w:tcW w:w="28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96,724 </w:t>
            </w:r>
          </w:p>
        </w:tc>
        <w:tc>
          <w:tcPr>
            <w:tcW w:w="33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6,599,962 </w:t>
            </w:r>
          </w:p>
        </w:tc>
        <w:tc>
          <w:tcPr>
            <w:tcW w:w="34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8" w:space="0" w:color="0046C8"/>
            </w:tcBorders>
            <w:tcMar>
              <w:top w:w="30" w:type="dxa"/>
              <w:left w:w="0" w:type="dxa"/>
              <w:bottom w:w="0" w:type="dxa"/>
              <w:right w:w="0" w:type="dxa"/>
            </w:tcMar>
            <w:vAlign w:val="center"/>
          </w:tcPr>
          <w:p>
            <w:pPr>
              <w:pStyle w:val="Normal"/>
              <w:bidi w:val="0"/>
              <w:jc w:val="left"/>
              <w:rPr/>
            </w:pPr>
            <w:r>
              <w:rPr/>
            </w:r>
          </w:p>
        </w:tc>
        <w:tc>
          <w:tcPr>
            <w:tcW w:w="12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 xml:space="preserve">Time-vested </w:t>
              <w:br/>
              <w:t>RSU</w:t>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32,242 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4,400,066 </w:t>
            </w:r>
          </w:p>
        </w:tc>
        <w:tc>
          <w:tcPr>
            <w:tcW w:w="34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restart"/>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Nelson Urdaneta</w:t>
            </w:r>
          </w:p>
        </w:tc>
        <w:tc>
          <w:tcPr>
            <w:tcW w:w="12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Annual cash</w:t>
              <w:br/>
              <w:t>incentive award</w:t>
            </w:r>
          </w:p>
        </w:tc>
        <w:tc>
          <w:tcPr>
            <w:tcW w:w="61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900,000 </w:t>
            </w:r>
          </w:p>
        </w:tc>
        <w:tc>
          <w:tcPr>
            <w:tcW w:w="28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1,800,000 </w:t>
            </w:r>
          </w:p>
        </w:tc>
        <w:tc>
          <w:tcPr>
            <w:tcW w:w="33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2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Performance-</w:t>
              <w:br/>
              <w:t>based RSU</w:t>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15,388 </w:t>
            </w:r>
          </w:p>
        </w:tc>
        <w:tc>
          <w:tcPr>
            <w:tcW w:w="28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30,776 </w:t>
            </w:r>
          </w:p>
        </w:tc>
        <w:tc>
          <w:tcPr>
            <w:tcW w:w="33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2,100,000 </w:t>
            </w:r>
          </w:p>
        </w:tc>
        <w:tc>
          <w:tcPr>
            <w:tcW w:w="34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2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 xml:space="preserve">Time-vested </w:t>
              <w:br/>
              <w:t>RSU</w:t>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10,259 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1,400,046 </w:t>
            </w:r>
          </w:p>
        </w:tc>
        <w:tc>
          <w:tcPr>
            <w:tcW w:w="34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restart"/>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Jeffrey Melucci</w:t>
            </w:r>
          </w:p>
        </w:tc>
        <w:tc>
          <w:tcPr>
            <w:tcW w:w="12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Annual cash</w:t>
              <w:br/>
              <w:t>incentive award</w:t>
            </w:r>
          </w:p>
        </w:tc>
        <w:tc>
          <w:tcPr>
            <w:tcW w:w="61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990,000 </w:t>
            </w:r>
          </w:p>
        </w:tc>
        <w:tc>
          <w:tcPr>
            <w:tcW w:w="28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1,980,000 </w:t>
            </w:r>
          </w:p>
        </w:tc>
        <w:tc>
          <w:tcPr>
            <w:tcW w:w="33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2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Performance-</w:t>
              <w:br/>
              <w:t>based RSU</w:t>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13,849 </w:t>
            </w:r>
          </w:p>
        </w:tc>
        <w:tc>
          <w:tcPr>
            <w:tcW w:w="28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27,698 </w:t>
            </w:r>
          </w:p>
        </w:tc>
        <w:tc>
          <w:tcPr>
            <w:tcW w:w="33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1,889,973 </w:t>
            </w:r>
          </w:p>
        </w:tc>
        <w:tc>
          <w:tcPr>
            <w:tcW w:w="34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2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 xml:space="preserve">Time-vested </w:t>
              <w:br/>
              <w:t>RSU</w:t>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1/31/2024</w:t>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8,267 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1,000,059 </w:t>
            </w:r>
          </w:p>
        </w:tc>
        <w:tc>
          <w:tcPr>
            <w:tcW w:w="34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2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Time-vested</w:t>
              <w:br/>
              <w:t>RSU</w:t>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9,233 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1,260,028 </w:t>
            </w:r>
          </w:p>
        </w:tc>
        <w:tc>
          <w:tcPr>
            <w:tcW w:w="34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restart"/>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Zackery Hicks</w:t>
            </w:r>
          </w:p>
        </w:tc>
        <w:tc>
          <w:tcPr>
            <w:tcW w:w="12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 xml:space="preserve">Annual cash </w:t>
              <w:br/>
              <w:t>incentive award</w:t>
            </w:r>
          </w:p>
        </w:tc>
        <w:tc>
          <w:tcPr>
            <w:tcW w:w="61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1,020,000 </w:t>
            </w:r>
          </w:p>
        </w:tc>
        <w:tc>
          <w:tcPr>
            <w:tcW w:w="28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2,040,000 </w:t>
            </w:r>
          </w:p>
        </w:tc>
        <w:tc>
          <w:tcPr>
            <w:tcW w:w="33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2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Performance-</w:t>
              <w:br/>
              <w:t>based RSU</w:t>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13,190 </w:t>
            </w:r>
          </w:p>
        </w:tc>
        <w:tc>
          <w:tcPr>
            <w:tcW w:w="28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26,380 </w:t>
            </w:r>
          </w:p>
        </w:tc>
        <w:tc>
          <w:tcPr>
            <w:tcW w:w="33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1,800,039 </w:t>
            </w:r>
          </w:p>
        </w:tc>
        <w:tc>
          <w:tcPr>
            <w:tcW w:w="34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2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 xml:space="preserve">Time-vested </w:t>
              <w:br/>
              <w:t>RSU</w:t>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8,793 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1,199,981 </w:t>
            </w:r>
          </w:p>
        </w:tc>
        <w:tc>
          <w:tcPr>
            <w:tcW w:w="34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restart"/>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Russell Torres</w:t>
            </w:r>
          </w:p>
        </w:tc>
        <w:tc>
          <w:tcPr>
            <w:tcW w:w="12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Annual cash</w:t>
              <w:br/>
              <w:t>incentive award</w:t>
            </w:r>
          </w:p>
        </w:tc>
        <w:tc>
          <w:tcPr>
            <w:tcW w:w="61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900,000 </w:t>
            </w:r>
          </w:p>
        </w:tc>
        <w:tc>
          <w:tcPr>
            <w:tcW w:w="28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1,800,000 </w:t>
            </w:r>
          </w:p>
        </w:tc>
        <w:tc>
          <w:tcPr>
            <w:tcW w:w="33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4" w:space="0" w:color="B3B3B3"/>
              <w:bottom w:val="single" w:sz="8" w:space="0" w:color="0046C8"/>
            </w:tcBorders>
            <w:tcMar>
              <w:top w:w="30" w:type="dxa"/>
              <w:left w:w="0" w:type="dxa"/>
              <w:bottom w:w="30" w:type="dxa"/>
              <w:right w:w="0" w:type="dxa"/>
            </w:tcMar>
            <w:vAlign w:val="center"/>
          </w:tcPr>
          <w:p>
            <w:pPr>
              <w:pStyle w:val="Normal"/>
              <w:bidi w:val="0"/>
              <w:jc w:val="left"/>
              <w:rPr/>
            </w:pPr>
            <w:r>
              <w:rPr/>
            </w:r>
          </w:p>
        </w:tc>
        <w:tc>
          <w:tcPr>
            <w:tcW w:w="12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Performance-</w:t>
              <w:br/>
              <w:t>based RSU</w:t>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05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14,509 </w:t>
            </w:r>
          </w:p>
        </w:tc>
        <w:tc>
          <w:tcPr>
            <w:tcW w:w="28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29,018 </w:t>
            </w:r>
          </w:p>
        </w:tc>
        <w:tc>
          <w:tcPr>
            <w:tcW w:w="33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1,980,043 </w:t>
            </w:r>
          </w:p>
        </w:tc>
        <w:tc>
          <w:tcPr>
            <w:tcW w:w="34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vMerge w:val="continue"/>
            <w:tcBorders>
              <w:top w:val="single" w:sz="4" w:space="0" w:color="B3B3B3"/>
              <w:bottom w:val="single" w:sz="8" w:space="0" w:color="0046C8"/>
            </w:tcBorders>
            <w:tcMar>
              <w:top w:w="30" w:type="dxa"/>
              <w:left w:w="0" w:type="dxa"/>
              <w:bottom w:w="30" w:type="dxa"/>
              <w:right w:w="0" w:type="dxa"/>
            </w:tcMar>
            <w:vAlign w:val="center"/>
          </w:tcPr>
          <w:p>
            <w:pPr>
              <w:pStyle w:val="Normal"/>
              <w:bidi w:val="0"/>
              <w:jc w:val="left"/>
              <w:rPr/>
            </w:pPr>
            <w:r>
              <w:rPr/>
            </w:r>
          </w:p>
        </w:tc>
        <w:tc>
          <w:tcPr>
            <w:tcW w:w="1261"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 xml:space="preserve">Time-vested </w:t>
              <w:br/>
              <w:t>RSU</w:t>
            </w:r>
          </w:p>
        </w:tc>
        <w:tc>
          <w:tcPr>
            <w:tcW w:w="616"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051"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9,672 </w:t>
            </w:r>
          </w:p>
        </w:tc>
        <w:tc>
          <w:tcPr>
            <w:tcW w:w="27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1,319,938 </w:t>
            </w:r>
          </w:p>
        </w:tc>
        <w:tc>
          <w:tcPr>
            <w:tcW w:w="349"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(1)</w:t>
      </w:r>
      <w:r>
        <w:rPr>
          <w:rFonts w:ascii="Lato;sans-serif" w:hAnsi="Lato;sans-serif"/>
          <w:b w:val="false"/>
          <w:color w:val="000000"/>
          <w:sz w:val="16"/>
        </w:rPr>
        <w:t>Represents the potential annual performance-based incentive cash payments each named executive officer could earn in 2024. These awards were granted under our Management Achievement Award Program, our annual cash incentive program for executive officers. Actual amounts earned in 2024 were based on the 2024 objectives established by the Management Development and Compensation Committee at its February 7, 2024 meeting. See “Compensation Discussion and Analysis – Executive Compensation for 2024 – Annual Cash Incentive Program.” At the time of the grant, the incentive payment could range from the threshold amount to the maximum amount depending on the extent to which the 2024 objectives were met. The actual amounts paid in 2025 based on the 2024 objectives are set forth in the Summary Compensation Table under the column entitled “Non-Equity Incentive Plan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629920"/>
                <wp:effectExtent l="0" t="0" r="0" b="0"/>
                <wp:wrapNone/>
                <wp:docPr id="312" name="Frame8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75</w:t>
                            </w:r>
                          </w:p>
                        </w:tc>
                      </w:tr>
                    </w:tbl>
                    <w:p>
                      <w:pPr>
                        <w:pStyle w:val="TextBody"/>
                        <w:bidi w:val="0"/>
                        <w:spacing w:before="0" w:after="283"/>
                        <w:jc w:val="left"/>
                        <w:rPr/>
                      </w:pPr>
                      <w:r>
                        <w:rPr/>
                      </w:r>
                    </w:p>
                  </w:txbxContent>
                </v:textbox>
                <w10:wrap type="none"/>
              </v:rect>
            </w:pict>
          </mc:Fallback>
        </mc:AlternateContent>
      </w:r>
    </w:p>
    <w:tbl>
      <w:tblPr>
        <w:tblW w:w="2216" w:type="dxa"/>
        <w:jc w:val="left"/>
        <w:tblInd w:w="0" w:type="dxa"/>
        <w:tblLayout w:type="fixed"/>
        <w:tblCellMar>
          <w:top w:w="28" w:type="dxa"/>
          <w:left w:w="28" w:type="dxa"/>
          <w:bottom w:w="28" w:type="dxa"/>
          <w:right w:w="28" w:type="dxa"/>
        </w:tblCellMar>
      </w:tblPr>
      <w:tblGrid>
        <w:gridCol w:w="603"/>
        <w:gridCol w:w="530"/>
        <w:gridCol w:w="532"/>
        <w:gridCol w:w="161"/>
        <w:gridCol w:w="161"/>
        <w:gridCol w:w="22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Compensation tables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13"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32" descr=""/>
                          <pic:cNvPicPr>
                            <a:picLocks noChangeAspect="1" noChangeArrowheads="1"/>
                          </pic:cNvPicPr>
                        </pic:nvPicPr>
                        <pic:blipFill>
                          <a:blip r:embed="rId233"/>
                          <a:stretch>
                            <a:fillRect/>
                          </a:stretch>
                        </pic:blipFill>
                        <pic:spPr bwMode="auto">
                          <a:xfrm>
                            <a:off x="0" y="0"/>
                            <a:ext cx="228600" cy="180975"/>
                          </a:xfrm>
                          <a:prstGeom prst="rect">
                            <a:avLst/>
                          </a:prstGeom>
                        </pic:spPr>
                      </pic:pic>
                    </a:graphicData>
                  </a:graphic>
                </wp:inline>
              </w:drawing>
            </w:r>
            <w:r>
              <w:rPr>
                <w:color w:val="000000"/>
              </w:rPr>
              <w:t> </w:t>
            </w:r>
          </w:p>
        </w:tc>
      </w:tr>
      <w:tr>
        <w:trPr/>
        <w:tc>
          <w:tcPr>
            <w:tcW w:w="166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(2)</w:t>
      </w:r>
      <w:r>
        <w:rPr>
          <w:rFonts w:ascii="Lato;sans-serif" w:hAnsi="Lato;sans-serif"/>
          <w:b w:val="false"/>
          <w:color w:val="000000"/>
          <w:sz w:val="16"/>
        </w:rPr>
        <w:t>Performance-based restricted share units granted under the 2021 Plan to our named executive officers on May 1, 2024. The number of performance-based restricted share units granted in 2024 that will ultimately vest on the third anniversary of the grant date could range from the threshold number to the maximum number depending on the extent to which the average annual organic sales growth and cumulative modified free cash flow performance objectives for those awards are met. See “Compensation Discussion and Analysis – Long-Term Equity Incentive Compensation – 2024 Grants.”</w:t>
      </w:r>
    </w:p>
    <w:p>
      <w:pPr>
        <w:pStyle w:val="TextBody"/>
        <w:bidi w:val="0"/>
        <w:spacing w:lineRule="auto" w:line="312" w:before="80" w:after="80"/>
        <w:ind w:left="0" w:right="0" w:hanging="216"/>
        <w:jc w:val="left"/>
        <w:rPr/>
      </w:pPr>
      <w:r>
        <w:rPr>
          <w:rFonts w:ascii="Lato;sans-serif" w:hAnsi="Lato;sans-serif"/>
          <w:b w:val="false"/>
          <w:color w:val="000000"/>
          <w:sz w:val="10"/>
        </w:rPr>
        <w:t>(3)</w:t>
      </w:r>
      <w:r>
        <w:rPr>
          <w:rFonts w:ascii="Lato;sans-serif" w:hAnsi="Lato;sans-serif"/>
          <w:b w:val="false"/>
          <w:color w:val="000000"/>
          <w:sz w:val="16"/>
        </w:rPr>
        <w:t>Includes (1) annual time-vested restricted share units granted under the 2021 Plan to our named executive officers on May 1, 2024 and (2) special award of time-vested restricted share units under the 2021 Plan to Mr. Melucci on January 31, 2024 in connection with his promotion to Chief Business and Transformation Officer.</w:t>
      </w:r>
    </w:p>
    <w:p>
      <w:pPr>
        <w:pStyle w:val="TextBody"/>
        <w:bidi w:val="0"/>
        <w:spacing w:lineRule="auto" w:line="312" w:before="80" w:after="80"/>
        <w:ind w:left="0" w:right="0" w:hanging="216"/>
        <w:jc w:val="left"/>
        <w:rPr/>
      </w:pPr>
      <w:r>
        <w:rPr>
          <w:rFonts w:ascii="Lato;sans-serif" w:hAnsi="Lato;sans-serif"/>
          <w:b w:val="false"/>
          <w:color w:val="000000"/>
          <w:sz w:val="10"/>
        </w:rPr>
        <w:t>(4)</w:t>
      </w:r>
      <w:r>
        <w:rPr>
          <w:rFonts w:ascii="Lato;sans-serif" w:hAnsi="Lato;sans-serif"/>
          <w:b w:val="false"/>
          <w:color w:val="000000"/>
          <w:sz w:val="16"/>
        </w:rPr>
        <w:t>Grant date fair value is determined in accordance with ASC Topic 718 and, for performance-based restricted share units, is the value at grant date based on the probable outcome of the performance condition and is consistent with the estimate of aggregate compensation cost to be recognized over the service period determined as of the grant date, excluding the effect of estimated forfeitures. See Note 7 to our audited consolidated financial statements included in our Annual Report on Form 10-K for 2024 for the assumptions used in valuing and expensing these restricted share units in accordance with ASC Topic 718.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120"/>
        <w:jc w:val="left"/>
        <w:rPr>
          <w:rFonts w:ascii="Lato;sans-serif" w:hAnsi="Lato;sans-serif"/>
          <w:b w:val="false"/>
          <w:color w:val="0046C8"/>
          <w:sz w:val="34"/>
        </w:rPr>
      </w:pPr>
      <w:bookmarkStart w:id="2" w:name="i931a866e6fe2486898a03ddf2c35367a_2133"/>
      <w:bookmarkEnd w:id="2"/>
      <w:r>
        <w:rPr>
          <w:rFonts w:ascii="Lato;sans-serif" w:hAnsi="Lato;sans-serif"/>
          <w:b w:val="false"/>
          <w:color w:val="0046C8"/>
          <w:sz w:val="34"/>
        </w:rPr>
        <w:t>Discussion of Summary Compensation and Plan-Based Awards Tables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executive compensation policies and practices, pursuant to which the compensation set forth in the Summary Compensation Table and the Grants of Plan-Based Awards in 2024 table was paid or awarded, are described under “Compensation Discussion and Analysis.”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Other than the executive severance programs described below, none of our named executive officers has an employment agreement with us. See “Potential Payments on Termination or Change of Control.”</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Executive officers may receive long-term equity incentive awards of stock options, restricted stock or restricted share units, or a combination of stock options, restricted stock and restricted share units under the 2021 Plan, which was approved by stockholders in 2021. The 2021 Plan provides the Committee with discretion to require performance-based standards to be met before awards vest. In 2024, each named executive officer received grants of time-vested restricted share units and performance-based restricted share units under the 2021 Plan.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annual time-based restricted share units vest 30 percent, 30 percent and 40 percent on the first, second and third anniversaries of the grant date. The special award of restricted share units to Mr. Melucci on January 31, 2024 vests in equal installments on the first and second anniversaries of the grant date.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Performance-based restricted share unit awards granted in 2024 will vest on the third anniversary of the grant date in a range from zero to 200 percent of the target levels. Awards that vest, if any, are based on our average annual organic sales growth and cumulative modified free cash flow performance during the three year performance period. As of February 12, 2025, the performance-based restricted share units granted in 2024 and 2023 were on pace to vest at the following levels: 105 percent for the 2024 award and 160 percent for the 2023 award. The Committee has determined that the 2022 award vested at 200 percent.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Dividend equivalents on unvested performance-based restricted share units equal to cash dividends on our common stock are accumulated and will be paid in additional shares after the performance-based restricted share units vest, based on the actual number of shares that vest, if any. Dividend equivalents on time-based restricted share units are accumulated and will be paid in additional shares when the time-based restricted share units vest.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629920"/>
                <wp:effectExtent l="0" t="0" r="0" b="0"/>
                <wp:wrapNone/>
                <wp:docPr id="314" name="Frame8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76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76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215" w:type="dxa"/>
        <w:jc w:val="left"/>
        <w:tblInd w:w="0" w:type="dxa"/>
        <w:tblLayout w:type="fixed"/>
        <w:tblCellMar>
          <w:top w:w="28" w:type="dxa"/>
          <w:left w:w="28" w:type="dxa"/>
          <w:bottom w:w="28" w:type="dxa"/>
          <w:right w:w="28" w:type="dxa"/>
        </w:tblCellMar>
      </w:tblPr>
      <w:tblGrid>
        <w:gridCol w:w="188"/>
        <w:gridCol w:w="166"/>
        <w:gridCol w:w="167"/>
        <w:gridCol w:w="495"/>
        <w:gridCol w:w="495"/>
        <w:gridCol w:w="70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15"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33" descr=""/>
                          <pic:cNvPicPr>
                            <a:picLocks noChangeAspect="1" noChangeArrowheads="1"/>
                          </pic:cNvPicPr>
                        </pic:nvPicPr>
                        <pic:blipFill>
                          <a:blip r:embed="rId234"/>
                          <a:stretch>
                            <a:fillRect/>
                          </a:stretch>
                        </pic:blipFill>
                        <pic:spPr bwMode="auto">
                          <a:xfrm>
                            <a:off x="0" y="0"/>
                            <a:ext cx="228600" cy="180975"/>
                          </a:xfrm>
                          <a:prstGeom prst="rect">
                            <a:avLst/>
                          </a:prstGeom>
                        </pic:spPr>
                      </pic:pic>
                    </a:graphicData>
                  </a:graphic>
                </wp:inline>
              </w:drawing>
            </w:r>
            <w:r>
              <w:rPr>
                <w:color w:val="000000"/>
              </w:rPr>
              <w:t> </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tables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Outstanding Equity Awards</w:t>
      </w:r>
    </w:p>
    <w:p>
      <w:pPr>
        <w:pStyle w:val="TextBody"/>
        <w:bidi w:val="0"/>
        <w:spacing w:lineRule="auto" w:line="276" w:before="120" w:after="120"/>
        <w:jc w:val="left"/>
        <w:rPr>
          <w:rFonts w:ascii="Lato;sans-serif" w:hAnsi="Lato;sans-serif"/>
          <w:b w:val="false"/>
          <w:color w:val="000000"/>
          <w:sz w:val="19"/>
        </w:rPr>
      </w:pPr>
      <w:r>
        <w:rPr>
          <w:rFonts w:ascii="Lato;sans-serif" w:hAnsi="Lato;sans-serif"/>
          <w:b w:val="false"/>
          <w:color w:val="000000"/>
          <w:sz w:val="19"/>
        </w:rPr>
        <w:t>The following table sets forth information concerning outstanding equity awards for our named executive officers as of December 31, 2024. Option awards were granted for ten-year terms, ending on the option expiration date set forth in the table. Stock awards were granted as indicated in the footnotes to the table.</w:t>
      </w:r>
    </w:p>
    <w:p>
      <w:pPr>
        <w:pStyle w:val="TextBody"/>
        <w:bidi w:val="0"/>
        <w:spacing w:lineRule="auto" w:line="288" w:before="0" w:after="0"/>
        <w:jc w:val="left"/>
        <w:rPr/>
      </w:pPr>
      <w:r>
        <w:rPr>
          <w:rFonts w:ascii="Lato Bold;sans-serif" w:hAnsi="Lato Bold;sans-serif"/>
          <w:b/>
          <w:color w:val="000000"/>
          <w:sz w:val="22"/>
        </w:rPr>
        <w:t>Outstanding Equity Awards as of December 31, 2024</w:t>
      </w:r>
      <w:r>
        <w:rPr>
          <w:rFonts w:ascii="Lato Bold;sans-serif" w:hAnsi="Lato Bold;sans-serif"/>
          <w:b/>
          <w:color w:val="000000"/>
          <w:sz w:val="14"/>
        </w:rPr>
        <w:t>(1)</w:t>
      </w:r>
    </w:p>
    <w:tbl>
      <w:tblPr>
        <w:tblW w:w="11536" w:type="dxa"/>
        <w:jc w:val="left"/>
        <w:tblInd w:w="0" w:type="dxa"/>
        <w:tblLayout w:type="fixed"/>
        <w:tblCellMar>
          <w:top w:w="28" w:type="dxa"/>
          <w:left w:w="28" w:type="dxa"/>
          <w:bottom w:w="28" w:type="dxa"/>
          <w:right w:w="28" w:type="dxa"/>
        </w:tblCellMar>
      </w:tblPr>
      <w:tblGrid>
        <w:gridCol w:w="423"/>
        <w:gridCol w:w="267"/>
        <w:gridCol w:w="271"/>
        <w:gridCol w:w="205"/>
        <w:gridCol w:w="205"/>
        <w:gridCol w:w="206"/>
        <w:gridCol w:w="415"/>
        <w:gridCol w:w="415"/>
        <w:gridCol w:w="416"/>
        <w:gridCol w:w="470"/>
        <w:gridCol w:w="470"/>
        <w:gridCol w:w="471"/>
        <w:gridCol w:w="360"/>
        <w:gridCol w:w="361"/>
        <w:gridCol w:w="296"/>
        <w:gridCol w:w="355"/>
        <w:gridCol w:w="355"/>
        <w:gridCol w:w="356"/>
        <w:gridCol w:w="109"/>
        <w:gridCol w:w="109"/>
        <w:gridCol w:w="109"/>
        <w:gridCol w:w="369"/>
        <w:gridCol w:w="352"/>
        <w:gridCol w:w="276"/>
        <w:gridCol w:w="488"/>
        <w:gridCol w:w="488"/>
        <w:gridCol w:w="251"/>
        <w:gridCol w:w="447"/>
        <w:gridCol w:w="379"/>
        <w:gridCol w:w="331"/>
        <w:gridCol w:w="540"/>
        <w:gridCol w:w="541"/>
        <w:gridCol w:w="430"/>
      </w:tblGrid>
      <w:tr>
        <w:trPr/>
        <w:tc>
          <w:tcPr>
            <w:tcW w:w="4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46C8"/>
              </w:rPr>
            </w:pPr>
            <w:r>
              <w:rPr>
                <w:color w:val="0046C8"/>
              </w:rPr>
              <w:t> </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4740" w:type="dxa"/>
            <w:gridSpan w:val="12"/>
            <w:tcBorders/>
            <w:tcMar>
              <w:top w:w="0" w:type="dxa"/>
              <w:left w:w="0" w:type="dxa"/>
              <w:bottom w:w="0" w:type="dxa"/>
              <w:right w:w="0" w:type="dxa"/>
            </w:tcMar>
            <w:vAlign w:val="center"/>
          </w:tcPr>
          <w:p>
            <w:pPr>
              <w:pStyle w:val="TableContents"/>
              <w:bidi w:val="0"/>
              <w:spacing w:lineRule="auto" w:line="288" w:before="0" w:after="0"/>
              <w:jc w:val="center"/>
              <w:rPr/>
            </w:pPr>
            <w:r>
              <w:rPr>
                <w:rFonts w:ascii="Lato Bold;sans-serif" w:hAnsi="Lato Bold;sans-serif"/>
                <w:b/>
                <w:color w:val="000000"/>
                <w:sz w:val="16"/>
              </w:rPr>
              <w:t>Option Awards</w:t>
            </w:r>
            <w:r>
              <w:rPr>
                <w:rFonts w:ascii="Lato Bold;sans-serif" w:hAnsi="Lato Bold;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6"/>
              </w:rPr>
            </w:pPr>
            <w:r>
              <w:rPr>
                <w:rFonts w:ascii="Lato Bold;sans-serif" w:hAnsi="Lato Bold;sans-serif"/>
                <w:b/>
                <w:color w:val="000000"/>
                <w:sz w:val="16"/>
              </w:rPr>
              <w:t>Stock Awards</w:t>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Name</w:t>
            </w:r>
          </w:p>
        </w:tc>
        <w:tc>
          <w:tcPr>
            <w:tcW w:w="616"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Lato Bold;sans-serif" w:hAnsi="Lato Bold;sans-serif"/>
                <w:b/>
                <w:color w:val="000000"/>
                <w:sz w:val="16"/>
              </w:rPr>
            </w:pPr>
            <w:r>
              <w:rPr>
                <w:rFonts w:ascii="Lato Bold;sans-serif" w:hAnsi="Lato Bold;sans-serif"/>
                <w:b/>
                <w:color w:val="000000"/>
                <w:sz w:val="16"/>
              </w:rPr>
              <w:t>Grant</w:t>
              <w:br/>
              <w:t>Date</w:t>
            </w:r>
          </w:p>
        </w:tc>
        <w:tc>
          <w:tcPr>
            <w:tcW w:w="124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76" w:before="0" w:after="283"/>
              <w:jc w:val="right"/>
              <w:rPr>
                <w:rFonts w:ascii="Lato Bold;sans-serif" w:hAnsi="Lato Bold;sans-serif"/>
                <w:b/>
                <w:color w:val="000000"/>
                <w:sz w:val="16"/>
              </w:rPr>
            </w:pPr>
            <w:r>
              <w:rPr>
                <w:rFonts w:ascii="Lato Bold;sans-serif" w:hAnsi="Lato Bold;sans-serif"/>
                <w:b/>
                <w:color w:val="000000"/>
                <w:sz w:val="16"/>
              </w:rPr>
              <w:t>Number of</w:t>
              <w:br/>
              <w:t>Securities</w:t>
              <w:br/>
              <w:t>Underlying</w:t>
              <w:br/>
              <w:t>Unexercised</w:t>
              <w:br/>
              <w:t>Options</w:t>
              <w:br/>
              <w:t>(#)</w:t>
              <w:br/>
              <w:t>Exercisable</w:t>
            </w:r>
          </w:p>
        </w:tc>
        <w:tc>
          <w:tcPr>
            <w:tcW w:w="1411"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76" w:before="0" w:after="283"/>
              <w:jc w:val="right"/>
              <w:rPr>
                <w:rFonts w:ascii="Lato Bold;sans-serif" w:hAnsi="Lato Bold;sans-serif"/>
                <w:b/>
                <w:color w:val="000000"/>
                <w:sz w:val="16"/>
              </w:rPr>
            </w:pPr>
            <w:r>
              <w:rPr>
                <w:rFonts w:ascii="Lato Bold;sans-serif" w:hAnsi="Lato Bold;sans-serif"/>
                <w:b/>
                <w:color w:val="000000"/>
                <w:sz w:val="16"/>
              </w:rPr>
              <w:t>Number of</w:t>
              <w:br/>
              <w:t>Securities</w:t>
              <w:br/>
              <w:t>Underlying</w:t>
              <w:br/>
              <w:t>Unexercised</w:t>
              <w:br/>
              <w:t>Options</w:t>
              <w:br/>
              <w:t>(#)</w:t>
              <w:br/>
              <w:t>Unexercisable</w:t>
            </w:r>
          </w:p>
        </w:tc>
        <w:tc>
          <w:tcPr>
            <w:tcW w:w="1017"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Option</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Exercise</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Price</w:t>
            </w:r>
          </w:p>
          <w:p>
            <w:pPr>
              <w:pStyle w:val="TableContents"/>
              <w:bidi w:val="0"/>
              <w:spacing w:lineRule="auto" w:line="276" w:before="0" w:after="0"/>
              <w:jc w:val="right"/>
              <w:rPr/>
            </w:pPr>
            <w:r>
              <w:rPr>
                <w:rFonts w:ascii="Lato Bold;sans-serif" w:hAnsi="Lato Bold;sans-serif"/>
                <w:b/>
                <w:color w:val="000000"/>
                <w:sz w:val="16"/>
              </w:rPr>
              <w:t>($)</w:t>
            </w:r>
            <w:r>
              <w:rPr>
                <w:rFonts w:ascii="Lato Bold;sans-serif" w:hAnsi="Lato Bold;sans-serif"/>
                <w:b/>
                <w:color w:val="000000"/>
                <w:sz w:val="10"/>
              </w:rPr>
              <w:t>(3)</w:t>
            </w:r>
          </w:p>
        </w:tc>
        <w:tc>
          <w:tcPr>
            <w:tcW w:w="106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76" w:before="0" w:after="283"/>
              <w:jc w:val="right"/>
              <w:rPr>
                <w:rFonts w:ascii="Lato Bold;sans-serif" w:hAnsi="Lato Bold;sans-serif"/>
                <w:b/>
                <w:color w:val="000000"/>
                <w:sz w:val="16"/>
              </w:rPr>
            </w:pPr>
            <w:r>
              <w:rPr>
                <w:rFonts w:ascii="Lato Bold;sans-serif" w:hAnsi="Lato Bold;sans-serif"/>
                <w:b/>
                <w:color w:val="000000"/>
                <w:sz w:val="16"/>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 xml:space="preserve">Number </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 xml:space="preserve">of Shares </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or Units of</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Stock That</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Have Not</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Vested</w:t>
            </w:r>
          </w:p>
          <w:p>
            <w:pPr>
              <w:pStyle w:val="TableContents"/>
              <w:bidi w:val="0"/>
              <w:spacing w:lineRule="auto" w:line="276" w:before="0" w:after="0"/>
              <w:jc w:val="right"/>
              <w:rPr/>
            </w:pPr>
            <w:r>
              <w:rPr>
                <w:rFonts w:ascii="Lato Bold;sans-serif" w:hAnsi="Lato Bold;sans-serif"/>
                <w:b/>
                <w:color w:val="000000"/>
                <w:sz w:val="16"/>
              </w:rPr>
              <w:t>(#)</w:t>
            </w:r>
            <w:r>
              <w:rPr>
                <w:rFonts w:ascii="Lato Bold;sans-serif" w:hAnsi="Lato Bold;sans-serif"/>
                <w:b/>
                <w:color w:val="000000"/>
                <w:sz w:val="10"/>
              </w:rPr>
              <w:t>(4)</w:t>
            </w:r>
          </w:p>
        </w:tc>
        <w:tc>
          <w:tcPr>
            <w:tcW w:w="1227"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Market</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Value</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of Shares</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or Units of</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Stock That</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Have Not</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Vested</w:t>
            </w:r>
          </w:p>
          <w:p>
            <w:pPr>
              <w:pStyle w:val="TableContents"/>
              <w:bidi w:val="0"/>
              <w:spacing w:lineRule="auto" w:line="276" w:before="0" w:after="0"/>
              <w:jc w:val="right"/>
              <w:rPr/>
            </w:pPr>
            <w:r>
              <w:rPr>
                <w:rFonts w:ascii="Lato Bold;sans-serif" w:hAnsi="Lato Bold;sans-serif"/>
                <w:b/>
                <w:color w:val="000000"/>
                <w:sz w:val="16"/>
              </w:rPr>
              <w:t>($)</w:t>
            </w:r>
            <w:r>
              <w:rPr>
                <w:rFonts w:ascii="Lato Bold;sans-serif" w:hAnsi="Lato Bold;sans-serif"/>
                <w:b/>
                <w:color w:val="000000"/>
                <w:sz w:val="10"/>
              </w:rPr>
              <w:t>(5)</w:t>
            </w:r>
          </w:p>
        </w:tc>
        <w:tc>
          <w:tcPr>
            <w:tcW w:w="1157"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Equity</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Incentive</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Plan</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Awards:</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Number of</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Unearned</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Shares,</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Units or</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Other</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Rights That</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Have</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Not</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Vested</w:t>
            </w:r>
          </w:p>
          <w:p>
            <w:pPr>
              <w:pStyle w:val="TableContents"/>
              <w:bidi w:val="0"/>
              <w:spacing w:lineRule="auto" w:line="276" w:before="0" w:after="0"/>
              <w:jc w:val="right"/>
              <w:rPr/>
            </w:pPr>
            <w:r>
              <w:rPr>
                <w:rFonts w:ascii="Lato Bold;sans-serif" w:hAnsi="Lato Bold;sans-serif"/>
                <w:b/>
                <w:color w:val="000000"/>
                <w:sz w:val="16"/>
              </w:rPr>
              <w:t>(#)</w:t>
            </w:r>
            <w:r>
              <w:rPr>
                <w:rFonts w:ascii="Lato Bold;sans-serif" w:hAnsi="Lato Bold;sans-serif"/>
                <w:b/>
                <w:color w:val="000000"/>
                <w:sz w:val="10"/>
              </w:rPr>
              <w:t>(6)</w:t>
            </w:r>
          </w:p>
        </w:tc>
        <w:tc>
          <w:tcPr>
            <w:tcW w:w="1511"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Equity</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Incentive</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Plan</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Awards:</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Market or</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Payout</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Value of</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Unearned</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Shares,</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Units or</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Other</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Rights That</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Have Not</w:t>
            </w:r>
          </w:p>
          <w:p>
            <w:pPr>
              <w:pStyle w:val="TableContents"/>
              <w:bidi w:val="0"/>
              <w:spacing w:lineRule="auto" w:line="276" w:before="0" w:after="0"/>
              <w:jc w:val="right"/>
              <w:rPr>
                <w:rFonts w:ascii="Lato Bold;sans-serif" w:hAnsi="Lato Bold;sans-serif"/>
                <w:b/>
                <w:color w:val="000000"/>
                <w:sz w:val="16"/>
              </w:rPr>
            </w:pPr>
            <w:r>
              <w:rPr>
                <w:rFonts w:ascii="Lato Bold;sans-serif" w:hAnsi="Lato Bold;sans-serif"/>
                <w:b/>
                <w:color w:val="000000"/>
                <w:sz w:val="16"/>
              </w:rPr>
              <w:t>Vested</w:t>
            </w:r>
          </w:p>
          <w:p>
            <w:pPr>
              <w:pStyle w:val="TableContents"/>
              <w:bidi w:val="0"/>
              <w:spacing w:lineRule="auto" w:line="276" w:before="0" w:after="0"/>
              <w:jc w:val="right"/>
              <w:rPr/>
            </w:pPr>
            <w:r>
              <w:rPr>
                <w:rFonts w:ascii="Lato Bold;sans-serif" w:hAnsi="Lato Bold;sans-serif"/>
                <w:b/>
                <w:color w:val="000000"/>
                <w:sz w:val="16"/>
              </w:rPr>
              <w:t>($)</w:t>
            </w:r>
            <w:r>
              <w:rPr>
                <w:rFonts w:ascii="Lato Bold;sans-serif" w:hAnsi="Lato Bold;sans-serif"/>
                <w:b/>
                <w:color w:val="000000"/>
                <w:sz w:val="10"/>
              </w:rPr>
              <w:t>(5)</w:t>
            </w:r>
          </w:p>
        </w:tc>
      </w:tr>
      <w:tr>
        <w:trPr/>
        <w:tc>
          <w:tcPr>
            <w:tcW w:w="961"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Michael D. Hsu</w:t>
            </w:r>
          </w:p>
        </w:tc>
        <w:tc>
          <w:tcPr>
            <w:tcW w:w="616"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98,418 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12,896,695 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32,806 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4,298,898 </w:t>
            </w:r>
          </w:p>
        </w:tc>
        <w:tc>
          <w:tcPr>
            <w:tcW w:w="2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4/26/2023</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95,327 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12,491,650 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4/26/2023</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22,243 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2,914,723 </w:t>
            </w:r>
          </w:p>
        </w:tc>
        <w:tc>
          <w:tcPr>
            <w:tcW w:w="2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4/26/2022</w:t>
            </w:r>
          </w:p>
        </w:tc>
        <w:tc>
          <w:tcPr>
            <w:tcW w:w="83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86,219 </w:t>
            </w:r>
          </w:p>
        </w:tc>
        <w:tc>
          <w:tcPr>
            <w:tcW w:w="4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57,480 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139.18 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4/26/2032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2/28/2022</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127,327 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16,684,930 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4/29/2021</w:t>
            </w:r>
          </w:p>
        </w:tc>
        <w:tc>
          <w:tcPr>
            <w:tcW w:w="83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169,645 </w:t>
            </w:r>
          </w:p>
        </w:tc>
        <w:tc>
          <w:tcPr>
            <w:tcW w:w="4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132.63 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4/29/2031</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4/29/2020</w:t>
            </w:r>
          </w:p>
        </w:tc>
        <w:tc>
          <w:tcPr>
            <w:tcW w:w="83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143,926 </w:t>
            </w:r>
          </w:p>
        </w:tc>
        <w:tc>
          <w:tcPr>
            <w:tcW w:w="4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138.96 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4/29/2030</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5/1/2019</w:t>
            </w:r>
          </w:p>
        </w:tc>
        <w:tc>
          <w:tcPr>
            <w:tcW w:w="83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127,521 </w:t>
            </w:r>
          </w:p>
        </w:tc>
        <w:tc>
          <w:tcPr>
            <w:tcW w:w="4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125.47 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5/1/2029</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5/9/2018</w:t>
            </w:r>
          </w:p>
        </w:tc>
        <w:tc>
          <w:tcPr>
            <w:tcW w:w="83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92,179 </w:t>
            </w:r>
          </w:p>
        </w:tc>
        <w:tc>
          <w:tcPr>
            <w:tcW w:w="4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103.06 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5/9/2028</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4/25/2017</w:t>
            </w:r>
          </w:p>
        </w:tc>
        <w:tc>
          <w:tcPr>
            <w:tcW w:w="83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67,761 </w:t>
            </w:r>
          </w:p>
        </w:tc>
        <w:tc>
          <w:tcPr>
            <w:tcW w:w="4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132.82 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4/25/2027</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5/3/2016</w:t>
            </w:r>
          </w:p>
        </w:tc>
        <w:tc>
          <w:tcPr>
            <w:tcW w:w="83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52,525 </w:t>
            </w:r>
          </w:p>
        </w:tc>
        <w:tc>
          <w:tcPr>
            <w:tcW w:w="4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126.13 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5/3/2026</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Nelson Urdaneta</w:t>
            </w:r>
          </w:p>
        </w:tc>
        <w:tc>
          <w:tcPr>
            <w:tcW w:w="61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31,315 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4,103,518 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10,438 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1,367,796 </w:t>
            </w:r>
          </w:p>
        </w:tc>
        <w:tc>
          <w:tcPr>
            <w:tcW w:w="2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4/26/2023</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23,832 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3,122,945 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4/26/2023</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5,560 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728,582 </w:t>
            </w:r>
          </w:p>
        </w:tc>
        <w:tc>
          <w:tcPr>
            <w:tcW w:w="2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4/26/2022</w:t>
            </w:r>
          </w:p>
        </w:tc>
        <w:tc>
          <w:tcPr>
            <w:tcW w:w="83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18,968 </w:t>
            </w:r>
          </w:p>
        </w:tc>
        <w:tc>
          <w:tcPr>
            <w:tcW w:w="4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12,646 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139.18 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4/26/2032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4/26/2022</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25,953 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3,400,881 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Jeffrey Melucci</w:t>
            </w:r>
          </w:p>
        </w:tc>
        <w:tc>
          <w:tcPr>
            <w:tcW w:w="61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28,183 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3,693,100 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9,394 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1,230,990 </w:t>
            </w:r>
          </w:p>
        </w:tc>
        <w:tc>
          <w:tcPr>
            <w:tcW w:w="2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1/31/2024</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8,492 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1,112,792 </w:t>
            </w:r>
          </w:p>
        </w:tc>
        <w:tc>
          <w:tcPr>
            <w:tcW w:w="2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4/26/2023</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19,419 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2,544,666 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4/26/2023</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4,531 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593,742 </w:t>
            </w:r>
          </w:p>
        </w:tc>
        <w:tc>
          <w:tcPr>
            <w:tcW w:w="2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4/26/2022</w:t>
            </w:r>
          </w:p>
        </w:tc>
        <w:tc>
          <w:tcPr>
            <w:tcW w:w="83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18,106 </w:t>
            </w:r>
          </w:p>
        </w:tc>
        <w:tc>
          <w:tcPr>
            <w:tcW w:w="4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12,071 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139.18 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4/26/2032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2/28/2022</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26,737 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3,503,616 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2/28/2022</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8,487 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1,112,136 </w:t>
            </w:r>
          </w:p>
        </w:tc>
        <w:tc>
          <w:tcPr>
            <w:tcW w:w="2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4/29/2020</w:t>
            </w:r>
          </w:p>
        </w:tc>
        <w:tc>
          <w:tcPr>
            <w:tcW w:w="83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32,383 </w:t>
            </w:r>
          </w:p>
        </w:tc>
        <w:tc>
          <w:tcPr>
            <w:tcW w:w="4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138.96 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4/29/2030</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bottom w:val="single" w:sz="4" w:space="0" w:color="B3B3B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bottom w:val="single" w:sz="4" w:space="0" w:color="B3B3B3"/>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4/25/2017</w:t>
            </w:r>
          </w:p>
        </w:tc>
        <w:tc>
          <w:tcPr>
            <w:tcW w:w="830" w:type="dxa"/>
            <w:gridSpan w:val="2"/>
            <w:tcBorders>
              <w:top w:val="single" w:sz="4" w:space="0" w:color="B3B3B3"/>
              <w:bottom w:val="single" w:sz="4" w:space="0" w:color="B3B3B3"/>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5,271 </w:t>
            </w:r>
          </w:p>
        </w:tc>
        <w:tc>
          <w:tcPr>
            <w:tcW w:w="416" w:type="dxa"/>
            <w:tcBorders>
              <w:top w:val="single" w:sz="4" w:space="0" w:color="B3B3B3"/>
              <w:bottom w:val="single" w:sz="4" w:space="0" w:color="B3B3B3"/>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bottom w:val="single" w:sz="4" w:space="0" w:color="B3B3B3"/>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bottom w:val="single" w:sz="4" w:space="0" w:color="B3B3B3"/>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bottom w:val="single" w:sz="4" w:space="0" w:color="B3B3B3"/>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132.82 </w:t>
            </w:r>
          </w:p>
        </w:tc>
        <w:tc>
          <w:tcPr>
            <w:tcW w:w="296" w:type="dxa"/>
            <w:tcBorders>
              <w:top w:val="single" w:sz="4" w:space="0" w:color="B3B3B3"/>
              <w:bottom w:val="single" w:sz="4" w:space="0" w:color="B3B3B3"/>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bottom w:val="single" w:sz="4" w:space="0" w:color="B3B3B3"/>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4/25/2027</w:t>
            </w:r>
          </w:p>
        </w:tc>
        <w:tc>
          <w:tcPr>
            <w:tcW w:w="327" w:type="dxa"/>
            <w:gridSpan w:val="3"/>
            <w:tcBorders>
              <w:top w:val="single" w:sz="4" w:space="0" w:color="B3B3B3"/>
              <w:bottom w:val="single" w:sz="4" w:space="0" w:color="B3B3B3"/>
            </w:tcBorders>
            <w:tcMar>
              <w:left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3B3B3"/>
              <w:bottom w:val="single" w:sz="4" w:space="0" w:color="B3B3B3"/>
            </w:tcBorders>
            <w:tcMar>
              <w:left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bottom w:val="single" w:sz="4" w:space="0" w:color="B3B3B3"/>
            </w:tcBorders>
            <w:tcMar>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3B3B3"/>
              <w:bottom w:val="single" w:sz="4" w:space="0" w:color="B3B3B3"/>
            </w:tcBorders>
            <w:tcMar>
              <w:left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4" w:space="0" w:color="B3B3B3"/>
              <w:bottom w:val="single" w:sz="4" w:space="0" w:color="B3B3B3"/>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629920"/>
                <wp:effectExtent l="0" t="0" r="0" b="0"/>
                <wp:wrapNone/>
                <wp:docPr id="316" name="Frame8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77</w:t>
                            </w:r>
                          </w:p>
                        </w:tc>
                      </w:tr>
                    </w:tbl>
                    <w:p>
                      <w:pPr>
                        <w:pStyle w:val="TextBody"/>
                        <w:bidi w:val="0"/>
                        <w:spacing w:before="0" w:after="283"/>
                        <w:jc w:val="left"/>
                        <w:rPr/>
                      </w:pPr>
                      <w:r>
                        <w:rPr/>
                      </w:r>
                    </w:p>
                  </w:txbxContent>
                </v:textbox>
                <w10:wrap type="none"/>
              </v:rect>
            </w:pict>
          </mc:Fallback>
        </mc:AlternateContent>
      </w:r>
    </w:p>
    <w:tbl>
      <w:tblPr>
        <w:tblW w:w="2216" w:type="dxa"/>
        <w:jc w:val="left"/>
        <w:tblInd w:w="0" w:type="dxa"/>
        <w:tblLayout w:type="fixed"/>
        <w:tblCellMar>
          <w:top w:w="28" w:type="dxa"/>
          <w:left w:w="28" w:type="dxa"/>
          <w:bottom w:w="28" w:type="dxa"/>
          <w:right w:w="28" w:type="dxa"/>
        </w:tblCellMar>
      </w:tblPr>
      <w:tblGrid>
        <w:gridCol w:w="603"/>
        <w:gridCol w:w="530"/>
        <w:gridCol w:w="532"/>
        <w:gridCol w:w="161"/>
        <w:gridCol w:w="161"/>
        <w:gridCol w:w="22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Compensation tables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1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34" descr=""/>
                          <pic:cNvPicPr>
                            <a:picLocks noChangeAspect="1" noChangeArrowheads="1"/>
                          </pic:cNvPicPr>
                        </pic:nvPicPr>
                        <pic:blipFill>
                          <a:blip r:embed="rId235"/>
                          <a:stretch>
                            <a:fillRect/>
                          </a:stretch>
                        </pic:blipFill>
                        <pic:spPr bwMode="auto">
                          <a:xfrm>
                            <a:off x="0" y="0"/>
                            <a:ext cx="228600" cy="180975"/>
                          </a:xfrm>
                          <a:prstGeom prst="rect">
                            <a:avLst/>
                          </a:prstGeom>
                        </pic:spPr>
                      </pic:pic>
                    </a:graphicData>
                  </a:graphic>
                </wp:inline>
              </w:drawing>
            </w:r>
            <w:r>
              <w:rPr>
                <w:color w:val="000000"/>
              </w:rPr>
              <w:t> </w:t>
            </w:r>
          </w:p>
        </w:tc>
      </w:tr>
      <w:tr>
        <w:trPr/>
        <w:tc>
          <w:tcPr>
            <w:tcW w:w="166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1101" w:type="dxa"/>
        <w:jc w:val="left"/>
        <w:tblInd w:w="0" w:type="dxa"/>
        <w:tblLayout w:type="fixed"/>
        <w:tblCellMar>
          <w:top w:w="28" w:type="dxa"/>
          <w:left w:w="28" w:type="dxa"/>
          <w:bottom w:w="28" w:type="dxa"/>
          <w:right w:w="28" w:type="dxa"/>
        </w:tblCellMar>
      </w:tblPr>
      <w:tblGrid>
        <w:gridCol w:w="303"/>
        <w:gridCol w:w="267"/>
        <w:gridCol w:w="271"/>
        <w:gridCol w:w="205"/>
        <w:gridCol w:w="205"/>
        <w:gridCol w:w="206"/>
        <w:gridCol w:w="415"/>
        <w:gridCol w:w="415"/>
        <w:gridCol w:w="416"/>
        <w:gridCol w:w="470"/>
        <w:gridCol w:w="470"/>
        <w:gridCol w:w="471"/>
        <w:gridCol w:w="360"/>
        <w:gridCol w:w="361"/>
        <w:gridCol w:w="296"/>
        <w:gridCol w:w="355"/>
        <w:gridCol w:w="355"/>
        <w:gridCol w:w="356"/>
        <w:gridCol w:w="109"/>
        <w:gridCol w:w="109"/>
        <w:gridCol w:w="109"/>
        <w:gridCol w:w="341"/>
        <w:gridCol w:w="275"/>
        <w:gridCol w:w="276"/>
        <w:gridCol w:w="488"/>
        <w:gridCol w:w="488"/>
        <w:gridCol w:w="251"/>
        <w:gridCol w:w="391"/>
        <w:gridCol w:w="330"/>
        <w:gridCol w:w="331"/>
        <w:gridCol w:w="488"/>
        <w:gridCol w:w="488"/>
        <w:gridCol w:w="430"/>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12"/>
            <w:tcBorders/>
            <w:tcMar>
              <w:top w:w="0" w:type="dxa"/>
              <w:left w:w="0" w:type="dxa"/>
              <w:bottom w:w="0" w:type="dxa"/>
              <w:right w:w="0" w:type="dxa"/>
            </w:tcMar>
            <w:vAlign w:val="center"/>
          </w:tcPr>
          <w:p>
            <w:pPr>
              <w:pStyle w:val="TableContents"/>
              <w:bidi w:val="0"/>
              <w:spacing w:lineRule="auto" w:line="288" w:before="0" w:after="0"/>
              <w:jc w:val="center"/>
              <w:rPr/>
            </w:pPr>
            <w:r>
              <w:rPr>
                <w:rFonts w:ascii="Lato Bold;sans-serif" w:hAnsi="Lato Bold;sans-serif"/>
                <w:b/>
                <w:color w:val="000000"/>
                <w:sz w:val="16"/>
              </w:rPr>
              <w:t>Option Awards</w:t>
            </w:r>
            <w:r>
              <w:rPr>
                <w:rFonts w:ascii="Lato Bold;sans-serif" w:hAnsi="Lato Bold;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7"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6"/>
              </w:rPr>
            </w:pPr>
            <w:r>
              <w:rPr>
                <w:rFonts w:ascii="Lato Bold;sans-serif" w:hAnsi="Lato Bold;sans-serif"/>
                <w:b/>
                <w:color w:val="000000"/>
                <w:sz w:val="16"/>
              </w:rPr>
              <w:t>Stock Awards</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Name</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Grant</w:t>
              <w:br/>
              <w:t>Date</w:t>
            </w:r>
          </w:p>
        </w:tc>
        <w:tc>
          <w:tcPr>
            <w:tcW w:w="124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Number of</w:t>
              <w:br/>
              <w:t>Securities</w:t>
              <w:br/>
              <w:t>Underlying</w:t>
              <w:br/>
              <w:t>Unexercised</w:t>
              <w:br/>
              <w:t>Options</w:t>
              <w:br/>
              <w:t>(#)</w:t>
              <w:br/>
              <w:t>Exercisable</w:t>
            </w:r>
          </w:p>
        </w:tc>
        <w:tc>
          <w:tcPr>
            <w:tcW w:w="1411"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Number of</w:t>
              <w:br/>
              <w:t>Securities</w:t>
              <w:br/>
              <w:t>Underlying</w:t>
              <w:br/>
              <w:t>Unexercised</w:t>
              <w:br/>
              <w:t>Options</w:t>
              <w:br/>
              <w:t>(#)</w:t>
              <w:br/>
              <w:t>Unexercisable</w:t>
            </w:r>
          </w:p>
        </w:tc>
        <w:tc>
          <w:tcPr>
            <w:tcW w:w="1017"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Option</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Exercise</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Price</w:t>
            </w:r>
          </w:p>
          <w:p>
            <w:pPr>
              <w:pStyle w:val="TableContents"/>
              <w:bidi w:val="0"/>
              <w:spacing w:lineRule="auto" w:line="288" w:before="0" w:after="0"/>
              <w:jc w:val="right"/>
              <w:rPr/>
            </w:pPr>
            <w:r>
              <w:rPr>
                <w:rFonts w:ascii="Lato Bold;sans-serif" w:hAnsi="Lato Bold;sans-serif"/>
                <w:b/>
                <w:color w:val="000000"/>
                <w:sz w:val="16"/>
              </w:rPr>
              <w:t>($)</w:t>
            </w:r>
            <w:r>
              <w:rPr>
                <w:rFonts w:ascii="Lato Bold;sans-serif" w:hAnsi="Lato Bold;sans-serif"/>
                <w:b/>
                <w:color w:val="000000"/>
                <w:sz w:val="10"/>
              </w:rPr>
              <w:t>(3)</w:t>
            </w:r>
          </w:p>
        </w:tc>
        <w:tc>
          <w:tcPr>
            <w:tcW w:w="106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 xml:space="preserve">Number </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 xml:space="preserve">of Shares </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or Units of</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Stock That</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Have Not</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Vested</w:t>
            </w:r>
          </w:p>
          <w:p>
            <w:pPr>
              <w:pStyle w:val="TableContents"/>
              <w:bidi w:val="0"/>
              <w:spacing w:lineRule="auto" w:line="288" w:before="0" w:after="0"/>
              <w:jc w:val="right"/>
              <w:rPr/>
            </w:pPr>
            <w:r>
              <w:rPr>
                <w:rFonts w:ascii="Lato Bold;sans-serif" w:hAnsi="Lato Bold;sans-serif"/>
                <w:b/>
                <w:color w:val="000000"/>
                <w:sz w:val="16"/>
              </w:rPr>
              <w:t>(#)</w:t>
            </w:r>
            <w:r>
              <w:rPr>
                <w:rFonts w:ascii="Lato Bold;sans-serif" w:hAnsi="Lato Bold;sans-serif"/>
                <w:b/>
                <w:color w:val="000000"/>
                <w:sz w:val="10"/>
              </w:rPr>
              <w:t>(4)</w:t>
            </w:r>
          </w:p>
        </w:tc>
        <w:tc>
          <w:tcPr>
            <w:tcW w:w="1227"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Market</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Value</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of Shares</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or Units of</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Stock That</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Have Not</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Vested</w:t>
            </w:r>
          </w:p>
          <w:p>
            <w:pPr>
              <w:pStyle w:val="TableContents"/>
              <w:bidi w:val="0"/>
              <w:spacing w:lineRule="auto" w:line="288" w:before="0" w:after="0"/>
              <w:jc w:val="right"/>
              <w:rPr/>
            </w:pPr>
            <w:r>
              <w:rPr>
                <w:rFonts w:ascii="Lato Bold;sans-serif" w:hAnsi="Lato Bold;sans-serif"/>
                <w:b/>
                <w:color w:val="000000"/>
                <w:sz w:val="16"/>
              </w:rPr>
              <w:t>($)</w:t>
            </w:r>
            <w:r>
              <w:rPr>
                <w:rFonts w:ascii="Lato Bold;sans-serif" w:hAnsi="Lato Bold;sans-serif"/>
                <w:b/>
                <w:color w:val="000000"/>
                <w:sz w:val="10"/>
              </w:rPr>
              <w:t>(5)</w:t>
            </w:r>
          </w:p>
        </w:tc>
        <w:tc>
          <w:tcPr>
            <w:tcW w:w="1052"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Equity</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Incentive</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Plan</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Awards:</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Number of</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Unearned</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Shares,</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Units or</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Other</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Rights That</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Have</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Not</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Vested</w:t>
            </w:r>
          </w:p>
          <w:p>
            <w:pPr>
              <w:pStyle w:val="TableContents"/>
              <w:bidi w:val="0"/>
              <w:spacing w:lineRule="auto" w:line="288" w:before="0" w:after="0"/>
              <w:jc w:val="right"/>
              <w:rPr/>
            </w:pPr>
            <w:r>
              <w:rPr>
                <w:rFonts w:ascii="Lato Bold;sans-serif" w:hAnsi="Lato Bold;sans-serif"/>
                <w:b/>
                <w:color w:val="000000"/>
                <w:sz w:val="16"/>
              </w:rPr>
              <w:t>(#)</w:t>
            </w:r>
            <w:r>
              <w:rPr>
                <w:rFonts w:ascii="Lato Bold;sans-serif" w:hAnsi="Lato Bold;sans-serif"/>
                <w:b/>
                <w:color w:val="000000"/>
                <w:sz w:val="10"/>
              </w:rPr>
              <w:t>(6)</w:t>
            </w:r>
          </w:p>
        </w:tc>
        <w:tc>
          <w:tcPr>
            <w:tcW w:w="140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Equity</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Incentive</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Plan</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Awards:</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Market or</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Payout</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Value of</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Unearned</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Shares,</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Units or</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Other</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Rights That</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Have Not</w:t>
            </w:r>
          </w:p>
          <w:p>
            <w:pPr>
              <w:pStyle w:val="TableContents"/>
              <w:bidi w:val="0"/>
              <w:spacing w:lineRule="auto" w:line="288" w:before="0" w:after="0"/>
              <w:jc w:val="right"/>
              <w:rPr>
                <w:rFonts w:ascii="Lato Bold;sans-serif" w:hAnsi="Lato Bold;sans-serif"/>
                <w:b/>
                <w:color w:val="000000"/>
                <w:sz w:val="16"/>
              </w:rPr>
            </w:pPr>
            <w:r>
              <w:rPr>
                <w:rFonts w:ascii="Lato Bold;sans-serif" w:hAnsi="Lato Bold;sans-serif"/>
                <w:b/>
                <w:color w:val="000000"/>
                <w:sz w:val="16"/>
              </w:rPr>
              <w:t>Vested</w:t>
            </w:r>
          </w:p>
          <w:p>
            <w:pPr>
              <w:pStyle w:val="TableContents"/>
              <w:bidi w:val="0"/>
              <w:spacing w:lineRule="auto" w:line="288" w:before="0" w:after="0"/>
              <w:jc w:val="right"/>
              <w:rPr/>
            </w:pPr>
            <w:r>
              <w:rPr>
                <w:rFonts w:ascii="Lato Bold;sans-serif" w:hAnsi="Lato Bold;sans-serif"/>
                <w:b/>
                <w:color w:val="000000"/>
                <w:sz w:val="16"/>
              </w:rPr>
              <w:t>($)</w:t>
            </w:r>
            <w:r>
              <w:rPr>
                <w:rFonts w:ascii="Lato Bold;sans-serif" w:hAnsi="Lato Bold;sans-serif"/>
                <w:b/>
                <w:color w:val="000000"/>
                <w:sz w:val="10"/>
              </w:rPr>
              <w:t>(5)</w:t>
            </w:r>
          </w:p>
        </w:tc>
      </w:tr>
      <w:tr>
        <w:trPr/>
        <w:tc>
          <w:tcPr>
            <w:tcW w:w="841"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Zackery Hicks</w:t>
            </w:r>
          </w:p>
        </w:tc>
        <w:tc>
          <w:tcPr>
            <w:tcW w:w="616"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26,842 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3,517,376 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8,947 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1,172,415 </w:t>
            </w:r>
          </w:p>
        </w:tc>
        <w:tc>
          <w:tcPr>
            <w:tcW w:w="2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4/26/2023</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26,480 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3,469,939 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4/26/2023</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6,178 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809,565 </w:t>
            </w:r>
          </w:p>
        </w:tc>
        <w:tc>
          <w:tcPr>
            <w:tcW w:w="2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7/29/2022</w:t>
            </w:r>
          </w:p>
        </w:tc>
        <w:tc>
          <w:tcPr>
            <w:tcW w:w="83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27,316 </w:t>
            </w:r>
          </w:p>
        </w:tc>
        <w:tc>
          <w:tcPr>
            <w:tcW w:w="4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18,211 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131.79 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7/29/2032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7/29/2022</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37,060 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4,856,342 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7/29/2022</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5,215 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683,374 </w:t>
            </w:r>
          </w:p>
        </w:tc>
        <w:tc>
          <w:tcPr>
            <w:tcW w:w="2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Russell Torres</w:t>
            </w:r>
          </w:p>
        </w:tc>
        <w:tc>
          <w:tcPr>
            <w:tcW w:w="61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29,526 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3,869,087 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5/1/2024</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9,841 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1,289,565 </w:t>
            </w:r>
          </w:p>
        </w:tc>
        <w:tc>
          <w:tcPr>
            <w:tcW w:w="2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4/26/2023</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26,480 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3,469,939 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4/26/2023</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6,178 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809,565 </w:t>
            </w:r>
          </w:p>
        </w:tc>
        <w:tc>
          <w:tcPr>
            <w:tcW w:w="2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4/26/2022</w:t>
            </w:r>
          </w:p>
        </w:tc>
        <w:tc>
          <w:tcPr>
            <w:tcW w:w="83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24,141 </w:t>
            </w:r>
          </w:p>
        </w:tc>
        <w:tc>
          <w:tcPr>
            <w:tcW w:w="4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16,095 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139.18 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4/26/2032</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2/28/2022</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35,650 </w:t>
            </w:r>
          </w:p>
        </w:tc>
        <w:tc>
          <w:tcPr>
            <w:tcW w:w="3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4,671,576 </w:t>
            </w:r>
          </w:p>
        </w:tc>
        <w:tc>
          <w:tcPr>
            <w:tcW w:w="43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2/28/2022</w:t>
            </w:r>
          </w:p>
        </w:tc>
        <w:tc>
          <w:tcPr>
            <w:tcW w:w="124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8,487 </w:t>
            </w:r>
          </w:p>
        </w:tc>
        <w:tc>
          <w:tcPr>
            <w:tcW w:w="27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1,112,136 </w:t>
            </w:r>
          </w:p>
        </w:tc>
        <w:tc>
          <w:tcPr>
            <w:tcW w:w="2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4/29/2021</w:t>
            </w:r>
          </w:p>
        </w:tc>
        <w:tc>
          <w:tcPr>
            <w:tcW w:w="83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49,009 </w:t>
            </w:r>
          </w:p>
        </w:tc>
        <w:tc>
          <w:tcPr>
            <w:tcW w:w="41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132.63 </w:t>
            </w:r>
          </w:p>
        </w:tc>
        <w:tc>
          <w:tcPr>
            <w:tcW w:w="29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4/29/2031</w:t>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4/29/2020</w:t>
            </w:r>
          </w:p>
        </w:tc>
        <w:tc>
          <w:tcPr>
            <w:tcW w:w="830"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41,379 </w:t>
            </w:r>
          </w:p>
        </w:tc>
        <w:tc>
          <w:tcPr>
            <w:tcW w:w="41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138.96 </w:t>
            </w:r>
          </w:p>
        </w:tc>
        <w:tc>
          <w:tcPr>
            <w:tcW w:w="29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4/29/2030</w:t>
            </w:r>
          </w:p>
        </w:tc>
        <w:tc>
          <w:tcPr>
            <w:tcW w:w="327"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(1)</w:t>
      </w:r>
      <w:r>
        <w:rPr>
          <w:rFonts w:ascii="Lato;sans-serif" w:hAnsi="Lato;sans-serif"/>
          <w:b w:val="false"/>
          <w:color w:val="000000"/>
          <w:sz w:val="16"/>
        </w:rPr>
        <w:t>The amounts shown reflect outstanding equity awards granted under the 2021 Plan or, prior to 2021, under the 2011 Plan (the “2011 Plan,” and collectively with the 2021 Plan, the “Equity Plans”). Under each plan, an executive officer may receive awards of stock options, restricted stock or restricted share units, or a combination of stock options, restricted stock and restricted share units.</w:t>
      </w:r>
    </w:p>
    <w:p>
      <w:pPr>
        <w:pStyle w:val="TextBody"/>
        <w:bidi w:val="0"/>
        <w:spacing w:lineRule="auto" w:line="312" w:before="80" w:after="80"/>
        <w:ind w:left="0" w:right="0" w:hanging="216"/>
        <w:jc w:val="left"/>
        <w:rPr/>
      </w:pPr>
      <w:r>
        <w:rPr>
          <w:rFonts w:ascii="Lato;sans-serif" w:hAnsi="Lato;sans-serif"/>
          <w:b w:val="false"/>
          <w:color w:val="000000"/>
          <w:sz w:val="10"/>
        </w:rPr>
        <w:t>(2)</w:t>
      </w:r>
      <w:r>
        <w:rPr>
          <w:rFonts w:ascii="Lato;sans-serif" w:hAnsi="Lato;sans-serif"/>
          <w:b w:val="false"/>
          <w:color w:val="000000"/>
          <w:sz w:val="16"/>
        </w:rPr>
        <w:t>Stock options become exercisable in three annual installments of 30 percent, 30 percent and 40 percent, beginning on the first anniversary of the grant date; however, all of the options become exercisable for the earlier of three years or the remaining term of the options upon death or total and permanent disability and for the earlier of five years or the remaining term of the options, upon retirement of the officer. In addition, options generally become exercisable upon a termination of employment following a change of control, and certain options granted to our named executive officers are subject to our Executive Severance Program. See “Potential Payments on Termination or Change of Control.” The officers may transfer the options to family members or certain entities in which family members have interests.</w:t>
      </w:r>
    </w:p>
    <w:p>
      <w:pPr>
        <w:pStyle w:val="TextBody"/>
        <w:bidi w:val="0"/>
        <w:spacing w:lineRule="auto" w:line="312" w:before="80" w:after="80"/>
        <w:ind w:left="0" w:right="0" w:hanging="216"/>
        <w:jc w:val="left"/>
        <w:rPr/>
      </w:pPr>
      <w:r>
        <w:rPr>
          <w:rFonts w:ascii="Lato;sans-serif" w:hAnsi="Lato;sans-serif"/>
          <w:b w:val="false"/>
          <w:color w:val="000000"/>
          <w:sz w:val="10"/>
        </w:rPr>
        <w:t>(3)</w:t>
      </w:r>
      <w:r>
        <w:rPr>
          <w:rFonts w:ascii="Lato;sans-serif" w:hAnsi="Lato;sans-serif"/>
          <w:b w:val="false"/>
          <w:color w:val="000000"/>
          <w:sz w:val="16"/>
        </w:rPr>
        <w:t>The Equity Plans provide that the option price per share shall be no less than the closing price per share of our common stock at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629920"/>
                <wp:effectExtent l="0" t="0" r="0" b="0"/>
                <wp:wrapNone/>
                <wp:docPr id="318" name="Frame8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78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78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215" w:type="dxa"/>
        <w:jc w:val="left"/>
        <w:tblInd w:w="0" w:type="dxa"/>
        <w:tblLayout w:type="fixed"/>
        <w:tblCellMar>
          <w:top w:w="28" w:type="dxa"/>
          <w:left w:w="28" w:type="dxa"/>
          <w:bottom w:w="28" w:type="dxa"/>
          <w:right w:w="28" w:type="dxa"/>
        </w:tblCellMar>
      </w:tblPr>
      <w:tblGrid>
        <w:gridCol w:w="188"/>
        <w:gridCol w:w="166"/>
        <w:gridCol w:w="167"/>
        <w:gridCol w:w="495"/>
        <w:gridCol w:w="495"/>
        <w:gridCol w:w="70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19"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35" descr=""/>
                          <pic:cNvPicPr>
                            <a:picLocks noChangeAspect="1" noChangeArrowheads="1"/>
                          </pic:cNvPicPr>
                        </pic:nvPicPr>
                        <pic:blipFill>
                          <a:blip r:embed="rId236"/>
                          <a:stretch>
                            <a:fillRect/>
                          </a:stretch>
                        </pic:blipFill>
                        <pic:spPr bwMode="auto">
                          <a:xfrm>
                            <a:off x="0" y="0"/>
                            <a:ext cx="228600" cy="180975"/>
                          </a:xfrm>
                          <a:prstGeom prst="rect">
                            <a:avLst/>
                          </a:prstGeom>
                        </pic:spPr>
                      </pic:pic>
                    </a:graphicData>
                  </a:graphic>
                </wp:inline>
              </w:drawing>
            </w:r>
            <w:r>
              <w:rPr>
                <w:color w:val="000000"/>
              </w:rPr>
              <w:t> </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tables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Lato;sans-serif" w:hAnsi="Lato;sans-serif"/>
          <w:b w:val="false"/>
          <w:color w:val="000000"/>
          <w:sz w:val="10"/>
        </w:rPr>
        <w:t>(4)</w:t>
      </w:r>
      <w:r>
        <w:rPr>
          <w:rFonts w:ascii="Lato;sans-serif" w:hAnsi="Lato;sans-serif"/>
          <w:b w:val="false"/>
          <w:color w:val="000000"/>
          <w:sz w:val="16"/>
        </w:rPr>
        <w:t>Represents awards of time-vested restricted share units. Dividend equivalents on these time-vested restricted share units equal to cash dividends on our Common Stock will be accumulated and paid in additional shares when the time-vested restricted share units vest. The units listed include dividend equivalents. The awards will vest as follows:</w:t>
      </w:r>
    </w:p>
    <w:tbl>
      <w:tblPr>
        <w:tblW w:w="10205" w:type="dxa"/>
        <w:jc w:val="left"/>
        <w:tblInd w:w="0" w:type="dxa"/>
        <w:tblLayout w:type="fixed"/>
        <w:tblCellMar>
          <w:top w:w="28" w:type="dxa"/>
          <w:left w:w="28" w:type="dxa"/>
          <w:bottom w:w="28" w:type="dxa"/>
          <w:right w:w="28" w:type="dxa"/>
        </w:tblCellMar>
      </w:tblPr>
      <w:tblGrid>
        <w:gridCol w:w="598"/>
        <w:gridCol w:w="525"/>
        <w:gridCol w:w="533"/>
        <w:gridCol w:w="362"/>
        <w:gridCol w:w="362"/>
        <w:gridCol w:w="364"/>
        <w:gridCol w:w="233"/>
        <w:gridCol w:w="233"/>
        <w:gridCol w:w="240"/>
        <w:gridCol w:w="1971"/>
        <w:gridCol w:w="1970"/>
        <w:gridCol w:w="2814"/>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Name</w:t>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Grant Date</w:t>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Type</w:t>
            </w:r>
          </w:p>
        </w:tc>
        <w:tc>
          <w:tcPr>
            <w:tcW w:w="6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Vesting</w:t>
            </w:r>
          </w:p>
        </w:tc>
      </w:tr>
      <w:tr>
        <w:trPr/>
        <w:tc>
          <w:tcPr>
            <w:tcW w:w="165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Michael D. Hsu</w:t>
            </w:r>
          </w:p>
        </w:tc>
        <w:tc>
          <w:tcPr>
            <w:tcW w:w="1088"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5/1/2024</w:t>
            </w:r>
          </w:p>
        </w:tc>
        <w:tc>
          <w:tcPr>
            <w:tcW w:w="70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Annual</w:t>
            </w:r>
          </w:p>
        </w:tc>
        <w:tc>
          <w:tcPr>
            <w:tcW w:w="6755"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Three annual installments of 30%, 30% and 40%.</w:t>
            </w:r>
          </w:p>
        </w:tc>
      </w:tr>
      <w:tr>
        <w:trPr/>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4/26/2023</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Annual</w:t>
            </w:r>
          </w:p>
        </w:tc>
        <w:tc>
          <w:tcPr>
            <w:tcW w:w="675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Three annual installments of 30%, 30% and 40%.</w:t>
            </w:r>
          </w:p>
        </w:tc>
      </w:tr>
      <w:tr>
        <w:trPr/>
        <w:tc>
          <w:tcPr>
            <w:tcW w:w="1656" w:type="dxa"/>
            <w:gridSpan w:val="3"/>
            <w:vMerge w:val="restart"/>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Nelson Urdaneta</w:t>
            </w:r>
          </w:p>
        </w:tc>
        <w:tc>
          <w:tcPr>
            <w:tcW w:w="108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5/1/2024</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Annual</w:t>
            </w:r>
          </w:p>
        </w:tc>
        <w:tc>
          <w:tcPr>
            <w:tcW w:w="675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Three annual installments of 30%, 30% and 40%.</w:t>
            </w:r>
          </w:p>
        </w:tc>
      </w:tr>
      <w:tr>
        <w:trPr/>
        <w:tc>
          <w:tcPr>
            <w:tcW w:w="1656"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08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4/26/2023</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Annual</w:t>
            </w:r>
          </w:p>
        </w:tc>
        <w:tc>
          <w:tcPr>
            <w:tcW w:w="675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Three annual installments of 30%, 30% and 40%.</w:t>
            </w:r>
          </w:p>
        </w:tc>
      </w:tr>
      <w:tr>
        <w:trPr/>
        <w:tc>
          <w:tcPr>
            <w:tcW w:w="1656" w:type="dxa"/>
            <w:gridSpan w:val="3"/>
            <w:vMerge w:val="restart"/>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Jeffrey Melucci</w:t>
            </w:r>
          </w:p>
        </w:tc>
        <w:tc>
          <w:tcPr>
            <w:tcW w:w="108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5/1/2024</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Annual</w:t>
            </w:r>
          </w:p>
        </w:tc>
        <w:tc>
          <w:tcPr>
            <w:tcW w:w="675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Three annual installments of 30%, 30% and 40%.</w:t>
            </w:r>
          </w:p>
        </w:tc>
      </w:tr>
      <w:tr>
        <w:trPr/>
        <w:tc>
          <w:tcPr>
            <w:tcW w:w="1656"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08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1/31/2024</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Special</w:t>
            </w:r>
          </w:p>
        </w:tc>
        <w:tc>
          <w:tcPr>
            <w:tcW w:w="675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Equal installments on the first and second anniversaries of the grant date.</w:t>
            </w:r>
          </w:p>
        </w:tc>
      </w:tr>
      <w:tr>
        <w:trPr/>
        <w:tc>
          <w:tcPr>
            <w:tcW w:w="1656"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08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4/26/2023</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Annual</w:t>
            </w:r>
          </w:p>
        </w:tc>
        <w:tc>
          <w:tcPr>
            <w:tcW w:w="675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Three annual installments of 30%, 30% and 40%.</w:t>
            </w:r>
          </w:p>
        </w:tc>
      </w:tr>
      <w:tr>
        <w:trPr/>
        <w:tc>
          <w:tcPr>
            <w:tcW w:w="1656" w:type="dxa"/>
            <w:gridSpan w:val="3"/>
            <w:vMerge w:val="continue"/>
            <w:tcBorders>
              <w:top w:val="single" w:sz="4" w:space="0" w:color="B3B3B3"/>
            </w:tcBorders>
            <w:tcMar>
              <w:top w:w="30" w:type="dxa"/>
              <w:left w:w="0" w:type="dxa"/>
              <w:bottom w:w="0" w:type="dxa"/>
              <w:right w:w="0" w:type="dxa"/>
            </w:tcMar>
            <w:vAlign w:val="center"/>
          </w:tcPr>
          <w:p>
            <w:pPr>
              <w:pStyle w:val="Normal"/>
              <w:bidi w:val="0"/>
              <w:jc w:val="left"/>
              <w:rPr/>
            </w:pPr>
            <w:r>
              <w:rPr/>
            </w:r>
          </w:p>
        </w:tc>
        <w:tc>
          <w:tcPr>
            <w:tcW w:w="108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2/28/2022</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Special</w:t>
            </w:r>
          </w:p>
        </w:tc>
        <w:tc>
          <w:tcPr>
            <w:tcW w:w="675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In full on the third anniversary of the grant date.</w:t>
            </w:r>
          </w:p>
        </w:tc>
      </w:tr>
      <w:tr>
        <w:trPr/>
        <w:tc>
          <w:tcPr>
            <w:tcW w:w="1656" w:type="dxa"/>
            <w:gridSpan w:val="3"/>
            <w:vMerge w:val="restart"/>
            <w:tcBorders>
              <w:top w:val="single" w:sz="4"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Zackery Hicks</w:t>
            </w:r>
          </w:p>
        </w:tc>
        <w:tc>
          <w:tcPr>
            <w:tcW w:w="108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5/1/2024</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Annual</w:t>
            </w:r>
          </w:p>
        </w:tc>
        <w:tc>
          <w:tcPr>
            <w:tcW w:w="675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Three annual installments of 30%, 30% and 40%.</w:t>
            </w:r>
          </w:p>
        </w:tc>
      </w:tr>
      <w:tr>
        <w:trPr/>
        <w:tc>
          <w:tcPr>
            <w:tcW w:w="1656" w:type="dxa"/>
            <w:gridSpan w:val="3"/>
            <w:vMerge w:val="continue"/>
            <w:tcBorders>
              <w:top w:val="single" w:sz="4" w:space="0" w:color="B6B6B6"/>
            </w:tcBorders>
            <w:tcMar>
              <w:top w:w="30" w:type="dxa"/>
              <w:left w:w="0" w:type="dxa"/>
              <w:bottom w:w="0" w:type="dxa"/>
              <w:right w:w="0" w:type="dxa"/>
            </w:tcMar>
            <w:vAlign w:val="center"/>
          </w:tcPr>
          <w:p>
            <w:pPr>
              <w:pStyle w:val="Normal"/>
              <w:bidi w:val="0"/>
              <w:jc w:val="left"/>
              <w:rPr/>
            </w:pPr>
            <w:r>
              <w:rPr/>
            </w:r>
          </w:p>
        </w:tc>
        <w:tc>
          <w:tcPr>
            <w:tcW w:w="108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4/26/2023</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Annual</w:t>
            </w:r>
          </w:p>
        </w:tc>
        <w:tc>
          <w:tcPr>
            <w:tcW w:w="675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Three annual installments of 30%, 30% and 40%.</w:t>
            </w:r>
          </w:p>
        </w:tc>
      </w:tr>
      <w:tr>
        <w:trPr/>
        <w:tc>
          <w:tcPr>
            <w:tcW w:w="1656" w:type="dxa"/>
            <w:gridSpan w:val="3"/>
            <w:vMerge w:val="continue"/>
            <w:tcBorders>
              <w:top w:val="single" w:sz="4" w:space="0" w:color="B6B6B6"/>
            </w:tcBorders>
            <w:tcMar>
              <w:top w:w="30" w:type="dxa"/>
              <w:left w:w="0" w:type="dxa"/>
              <w:bottom w:w="0" w:type="dxa"/>
              <w:right w:w="0" w:type="dxa"/>
            </w:tcMar>
            <w:vAlign w:val="center"/>
          </w:tcPr>
          <w:p>
            <w:pPr>
              <w:pStyle w:val="Normal"/>
              <w:bidi w:val="0"/>
              <w:jc w:val="left"/>
              <w:rPr/>
            </w:pPr>
            <w:r>
              <w:rPr/>
            </w:r>
          </w:p>
        </w:tc>
        <w:tc>
          <w:tcPr>
            <w:tcW w:w="108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7/29/2022</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Special</w:t>
            </w:r>
          </w:p>
        </w:tc>
        <w:tc>
          <w:tcPr>
            <w:tcW w:w="675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Equal installments on the first, second and third anniversaries of the grant date.</w:t>
            </w:r>
          </w:p>
        </w:tc>
      </w:tr>
      <w:tr>
        <w:trPr/>
        <w:tc>
          <w:tcPr>
            <w:tcW w:w="1656" w:type="dxa"/>
            <w:gridSpan w:val="3"/>
            <w:vMerge w:val="restart"/>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Russell Torres</w:t>
            </w:r>
          </w:p>
        </w:tc>
        <w:tc>
          <w:tcPr>
            <w:tcW w:w="108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5/1/2024</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Annual</w:t>
            </w:r>
          </w:p>
        </w:tc>
        <w:tc>
          <w:tcPr>
            <w:tcW w:w="675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Three annual installments of 30%, 30% and 40%.</w:t>
            </w:r>
          </w:p>
        </w:tc>
      </w:tr>
      <w:tr>
        <w:trPr/>
        <w:tc>
          <w:tcPr>
            <w:tcW w:w="1656" w:type="dxa"/>
            <w:gridSpan w:val="3"/>
            <w:vMerge w:val="continue"/>
            <w:tcBorders>
              <w:top w:val="single" w:sz="4" w:space="0" w:color="B3B3B3"/>
              <w:bottom w:val="single" w:sz="8" w:space="0" w:color="0046C8"/>
            </w:tcBorders>
            <w:tcMar>
              <w:top w:w="30" w:type="dxa"/>
              <w:left w:w="0" w:type="dxa"/>
              <w:bottom w:w="30" w:type="dxa"/>
              <w:right w:w="0" w:type="dxa"/>
            </w:tcMar>
            <w:vAlign w:val="center"/>
          </w:tcPr>
          <w:p>
            <w:pPr>
              <w:pStyle w:val="Normal"/>
              <w:bidi w:val="0"/>
              <w:jc w:val="left"/>
              <w:rPr/>
            </w:pPr>
            <w:r>
              <w:rPr/>
            </w:r>
          </w:p>
        </w:tc>
        <w:tc>
          <w:tcPr>
            <w:tcW w:w="108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4/26/2023</w:t>
            </w:r>
          </w:p>
        </w:tc>
        <w:tc>
          <w:tcPr>
            <w:tcW w:w="70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Annual</w:t>
            </w:r>
          </w:p>
        </w:tc>
        <w:tc>
          <w:tcPr>
            <w:tcW w:w="675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Three annual installments of 30%, 30% and 40%.</w:t>
            </w:r>
          </w:p>
        </w:tc>
      </w:tr>
      <w:tr>
        <w:trPr/>
        <w:tc>
          <w:tcPr>
            <w:tcW w:w="1656" w:type="dxa"/>
            <w:gridSpan w:val="3"/>
            <w:vMerge w:val="continue"/>
            <w:tcBorders>
              <w:top w:val="single" w:sz="4" w:space="0" w:color="B3B3B3"/>
              <w:bottom w:val="single" w:sz="8" w:space="0" w:color="0046C8"/>
            </w:tcBorders>
            <w:tcMar>
              <w:top w:w="30" w:type="dxa"/>
              <w:left w:w="0" w:type="dxa"/>
              <w:bottom w:w="30" w:type="dxa"/>
              <w:right w:w="0" w:type="dxa"/>
            </w:tcMar>
            <w:vAlign w:val="center"/>
          </w:tcPr>
          <w:p>
            <w:pPr>
              <w:pStyle w:val="Normal"/>
              <w:bidi w:val="0"/>
              <w:jc w:val="left"/>
              <w:rPr/>
            </w:pPr>
            <w:r>
              <w:rPr/>
            </w:r>
          </w:p>
        </w:tc>
        <w:tc>
          <w:tcPr>
            <w:tcW w:w="1088"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2/28/2022</w:t>
            </w:r>
          </w:p>
        </w:tc>
        <w:tc>
          <w:tcPr>
            <w:tcW w:w="706"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Special</w:t>
            </w:r>
          </w:p>
        </w:tc>
        <w:tc>
          <w:tcPr>
            <w:tcW w:w="6755"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In full on the third anniversary of the grant date.</w:t>
            </w:r>
          </w:p>
        </w:tc>
      </w:tr>
    </w:tbl>
    <w:p>
      <w:pPr>
        <w:pStyle w:val="TextBody"/>
        <w:bidi w:val="0"/>
        <w:spacing w:lineRule="auto" w:line="288" w:before="80" w:after="80"/>
        <w:ind w:left="0" w:right="0" w:hanging="216"/>
        <w:jc w:val="left"/>
        <w:rPr/>
      </w:pPr>
      <w:r>
        <w:rPr>
          <w:rFonts w:ascii="Lato;sans-serif" w:hAnsi="Lato;sans-serif"/>
          <w:b w:val="false"/>
          <w:color w:val="000000"/>
          <w:sz w:val="10"/>
        </w:rPr>
        <w:t>(5)</w:t>
      </w:r>
      <w:r>
        <w:rPr>
          <w:rFonts w:ascii="Lato;sans-serif" w:hAnsi="Lato;sans-serif"/>
          <w:b w:val="false"/>
          <w:color w:val="000000"/>
          <w:sz w:val="16"/>
        </w:rPr>
        <w:t>The values shown in this column are based on the closing price of our common stock on December 31, 2024 of $131.04 per share.</w:t>
      </w:r>
    </w:p>
    <w:p>
      <w:pPr>
        <w:pStyle w:val="TextBody"/>
        <w:bidi w:val="0"/>
        <w:spacing w:lineRule="auto" w:line="288" w:before="80" w:after="80"/>
        <w:ind w:left="0" w:right="0" w:hanging="216"/>
        <w:jc w:val="left"/>
        <w:rPr/>
      </w:pPr>
      <w:r>
        <w:rPr>
          <w:rFonts w:ascii="Lato;sans-serif" w:hAnsi="Lato;sans-serif"/>
          <w:b w:val="false"/>
          <w:color w:val="000000"/>
          <w:sz w:val="10"/>
        </w:rPr>
        <w:t>(6)</w:t>
      </w:r>
      <w:r>
        <w:rPr>
          <w:rFonts w:ascii="Lato;sans-serif" w:hAnsi="Lato;sans-serif"/>
          <w:b w:val="false"/>
          <w:color w:val="000000"/>
          <w:sz w:val="16"/>
        </w:rPr>
        <w:t>Represents awards of performance-based restricted share units granted to our named executive officers in 2022, 2023 and 2024. Subject to accelerated vesting as described in “Potential Payments on Termination or Change of Control,” performance-based restricted share unit awards granted in 2022, 2023 and 2024 vest on the third anniversary of the grant date, in a range from zero to 200 percent of the target levels indicated based on the achievement of specific performance goals. Based on the current vesting pace of these awards, the amounts shown represent the maximum level for the 2022, 2023 and 2024 grants. See “Discussion of Summary Compensation and Plan-Based Awards Tables.” The units listed include equivalents on performance-based restricted share units granted to our named executive officers equal to cash dividends on our Common Stock based on the maximum level for the 2022, 2023 and 2024 grants.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Option Exercises and Stock Vested</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following table sets forth information concerning stock options exercised and stock awards vested during 2024 for our named executive officers.</w:t>
      </w:r>
    </w:p>
    <w:p>
      <w:pPr>
        <w:pStyle w:val="TextBody"/>
        <w:bidi w:val="0"/>
        <w:spacing w:lineRule="auto" w:line="288" w:before="0" w:after="0"/>
        <w:jc w:val="left"/>
        <w:rPr>
          <w:rFonts w:ascii="Lato Bold;sans-serif" w:hAnsi="Lato Bold;sans-serif"/>
          <w:b/>
          <w:color w:val="000000"/>
          <w:sz w:val="22"/>
        </w:rPr>
      </w:pPr>
      <w:r>
        <w:rPr>
          <w:rFonts w:ascii="Lato Bold;sans-serif" w:hAnsi="Lato Bold;sans-serif"/>
          <w:b/>
          <w:color w:val="000000"/>
          <w:sz w:val="22"/>
        </w:rPr>
        <w:t>Option Exercises and Stock Vested in 2024</w:t>
      </w:r>
    </w:p>
    <w:tbl>
      <w:tblPr>
        <w:tblW w:w="8423" w:type="dxa"/>
        <w:jc w:val="left"/>
        <w:tblInd w:w="0" w:type="dxa"/>
        <w:tblLayout w:type="fixed"/>
        <w:tblCellMar>
          <w:top w:w="28" w:type="dxa"/>
          <w:left w:w="28" w:type="dxa"/>
          <w:bottom w:w="28" w:type="dxa"/>
          <w:right w:w="28" w:type="dxa"/>
        </w:tblCellMar>
      </w:tblPr>
      <w:tblGrid>
        <w:gridCol w:w="660"/>
        <w:gridCol w:w="583"/>
        <w:gridCol w:w="586"/>
        <w:gridCol w:w="469"/>
        <w:gridCol w:w="469"/>
        <w:gridCol w:w="471"/>
        <w:gridCol w:w="563"/>
        <w:gridCol w:w="563"/>
        <w:gridCol w:w="469"/>
        <w:gridCol w:w="109"/>
        <w:gridCol w:w="109"/>
        <w:gridCol w:w="109"/>
        <w:gridCol w:w="473"/>
        <w:gridCol w:w="473"/>
        <w:gridCol w:w="471"/>
        <w:gridCol w:w="623"/>
        <w:gridCol w:w="623"/>
        <w:gridCol w:w="600"/>
      </w:tblGrid>
      <w:tr>
        <w:trPr/>
        <w:tc>
          <w:tcPr>
            <w:tcW w:w="6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182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Name</w:t>
            </w:r>
          </w:p>
        </w:tc>
        <w:tc>
          <w:tcPr>
            <w:tcW w:w="300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Stock Awards</w:t>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40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Number of</w:t>
              <w:br/>
              <w:t>Shares</w:t>
              <w:br/>
              <w:t>Acquired on</w:t>
              <w:br/>
              <w:t>Exercise</w:t>
              <w:br/>
              <w:t>(#)</w:t>
            </w:r>
          </w:p>
        </w:tc>
        <w:tc>
          <w:tcPr>
            <w:tcW w:w="1595"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Value</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Realized on</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Exercise</w:t>
            </w:r>
          </w:p>
          <w:p>
            <w:pPr>
              <w:pStyle w:val="TableContents"/>
              <w:bidi w:val="0"/>
              <w:spacing w:lineRule="auto" w:line="288" w:before="0" w:after="0"/>
              <w:jc w:val="right"/>
              <w:rPr/>
            </w:pPr>
            <w:r>
              <w:rPr>
                <w:rFonts w:ascii="Lato Bold;sans-serif" w:hAnsi="Lato Bold;sans-serif"/>
                <w:b/>
                <w:color w:val="000000"/>
                <w:sz w:val="19"/>
              </w:rPr>
              <w:t>($)</w:t>
            </w:r>
            <w:r>
              <w:rPr>
                <w:rFonts w:ascii="Lato Bold;sans-serif" w:hAnsi="Lato Bold;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Number of</w:t>
              <w:br/>
              <w:t>Shares</w:t>
              <w:br/>
              <w:t>Acquired on</w:t>
              <w:br/>
              <w:t>Vesting</w:t>
              <w:br/>
              <w:t>(#)</w:t>
            </w:r>
          </w:p>
        </w:tc>
        <w:tc>
          <w:tcPr>
            <w:tcW w:w="184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Value</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Realized on</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Vesting</w:t>
            </w:r>
          </w:p>
          <w:p>
            <w:pPr>
              <w:pStyle w:val="TableContents"/>
              <w:bidi w:val="0"/>
              <w:spacing w:lineRule="auto" w:line="288" w:before="0" w:after="0"/>
              <w:jc w:val="right"/>
              <w:rPr/>
            </w:pPr>
            <w:r>
              <w:rPr>
                <w:rFonts w:ascii="Lato Bold;sans-serif" w:hAnsi="Lato Bold;sans-serif"/>
                <w:b/>
                <w:color w:val="000000"/>
                <w:sz w:val="19"/>
              </w:rPr>
              <w:t>($)</w:t>
            </w:r>
            <w:r>
              <w:rPr>
                <w:rFonts w:ascii="Lato Bold;sans-serif" w:hAnsi="Lato Bold;sans-serif"/>
                <w:b/>
                <w:color w:val="000000"/>
                <w:sz w:val="12"/>
              </w:rPr>
              <w:t>(2)</w:t>
            </w:r>
          </w:p>
        </w:tc>
      </w:tr>
      <w:tr>
        <w:trPr/>
        <w:tc>
          <w:tcPr>
            <w:tcW w:w="182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Michael D. Hsu</w:t>
            </w:r>
          </w:p>
        </w:tc>
        <w:tc>
          <w:tcPr>
            <w:tcW w:w="938"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54,191 </w:t>
            </w:r>
          </w:p>
        </w:tc>
        <w:tc>
          <w:tcPr>
            <w:tcW w:w="47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1,337,231 </w:t>
            </w:r>
          </w:p>
        </w:tc>
        <w:tc>
          <w:tcPr>
            <w:tcW w:w="469"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111,117 </w:t>
            </w:r>
          </w:p>
        </w:tc>
        <w:tc>
          <w:tcPr>
            <w:tcW w:w="47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13,602,007 </w:t>
            </w:r>
          </w:p>
        </w:tc>
        <w:tc>
          <w:tcPr>
            <w:tcW w:w="600"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Nelson Urdaneta</w:t>
            </w:r>
          </w:p>
        </w:tc>
        <w:tc>
          <w:tcPr>
            <w:tcW w:w="140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7,171 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969,982 </w:t>
            </w:r>
          </w:p>
        </w:tc>
        <w:tc>
          <w:tcPr>
            <w:tcW w:w="60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Jeffrey Melucci</w:t>
            </w:r>
          </w:p>
        </w:tc>
        <w:tc>
          <w:tcPr>
            <w:tcW w:w="93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47,901 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500,210 </w:t>
            </w:r>
          </w:p>
        </w:tc>
        <w:tc>
          <w:tcPr>
            <w:tcW w:w="46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24,520 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2,999,390 </w:t>
            </w:r>
          </w:p>
        </w:tc>
        <w:tc>
          <w:tcPr>
            <w:tcW w:w="60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Zackery Hicks</w:t>
            </w:r>
          </w:p>
        </w:tc>
        <w:tc>
          <w:tcPr>
            <w:tcW w:w="1409"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7,773 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1,080,416 </w:t>
            </w:r>
          </w:p>
        </w:tc>
        <w:tc>
          <w:tcPr>
            <w:tcW w:w="600"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Russell Torres</w:t>
            </w:r>
          </w:p>
        </w:tc>
        <w:tc>
          <w:tcPr>
            <w:tcW w:w="1409"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40,490 </w:t>
            </w:r>
          </w:p>
        </w:tc>
        <w:tc>
          <w:tcPr>
            <w:tcW w:w="47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5,107,661 </w:t>
            </w:r>
          </w:p>
        </w:tc>
        <w:tc>
          <w:tcPr>
            <w:tcW w:w="600"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Lato;sans-serif" w:hAnsi="Lato;sans-serif"/>
          <w:b w:val="false"/>
          <w:color w:val="000000"/>
          <w:sz w:val="10"/>
        </w:rPr>
        <w:t>(1)</w:t>
      </w:r>
      <w:r>
        <w:rPr>
          <w:rFonts w:ascii="Lato;sans-serif" w:hAnsi="Lato;sans-serif"/>
          <w:b w:val="false"/>
          <w:color w:val="000000"/>
          <w:sz w:val="16"/>
        </w:rPr>
        <w:t>The dollar amount reflects the total pre-tax value realized by our named executive officers (number of shares exercised times the difference between the fair market value on the exercise date and the exercise price). It is not the grant date fair value disclosed in other locations in this proxy statement. Value from these option exercises was only realized to the extent our stock price increased relative to the stock price at grant (the exercise price).</w:t>
      </w:r>
    </w:p>
    <w:p>
      <w:pPr>
        <w:pStyle w:val="TextBody"/>
        <w:bidi w:val="0"/>
        <w:spacing w:lineRule="auto" w:line="288" w:before="80" w:after="80"/>
        <w:ind w:left="0" w:right="0" w:hanging="216"/>
        <w:jc w:val="left"/>
        <w:rPr/>
      </w:pPr>
      <w:r>
        <w:rPr>
          <w:rFonts w:ascii="Lato;sans-serif" w:hAnsi="Lato;sans-serif"/>
          <w:b w:val="false"/>
          <w:color w:val="000000"/>
          <w:sz w:val="10"/>
        </w:rPr>
        <w:t>(2)</w:t>
      </w:r>
      <w:r>
        <w:rPr>
          <w:rFonts w:ascii="Lato;sans-serif" w:hAnsi="Lato;sans-serif"/>
          <w:b w:val="false"/>
          <w:color w:val="000000"/>
          <w:sz w:val="16"/>
        </w:rPr>
        <w:t>The dollar amount reflects the total pre-tax value received by our named executive officers upon the vesting of time-vested restricted share units or performance-based restricted share units (number of shares vested times the closing price of our common stock on the vesting date), including cash paid in lieu of fractional shares. It is not the grant date fair value disclosed in other locations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629920"/>
                <wp:effectExtent l="0" t="0" r="0" b="0"/>
                <wp:wrapNone/>
                <wp:docPr id="320" name="Frame8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79</w:t>
                            </w:r>
                          </w:p>
                        </w:tc>
                      </w:tr>
                    </w:tbl>
                    <w:p>
                      <w:pPr>
                        <w:pStyle w:val="TextBody"/>
                        <w:bidi w:val="0"/>
                        <w:spacing w:before="0" w:after="283"/>
                        <w:jc w:val="left"/>
                        <w:rPr/>
                      </w:pPr>
                      <w:r>
                        <w:rPr/>
                      </w:r>
                    </w:p>
                  </w:txbxContent>
                </v:textbox>
                <w10:wrap type="none"/>
              </v:rect>
            </w:pict>
          </mc:Fallback>
        </mc:AlternateContent>
      </w:r>
    </w:p>
    <w:tbl>
      <w:tblPr>
        <w:tblW w:w="2216" w:type="dxa"/>
        <w:jc w:val="left"/>
        <w:tblInd w:w="0" w:type="dxa"/>
        <w:tblLayout w:type="fixed"/>
        <w:tblCellMar>
          <w:top w:w="28" w:type="dxa"/>
          <w:left w:w="28" w:type="dxa"/>
          <w:bottom w:w="28" w:type="dxa"/>
          <w:right w:w="28" w:type="dxa"/>
        </w:tblCellMar>
      </w:tblPr>
      <w:tblGrid>
        <w:gridCol w:w="603"/>
        <w:gridCol w:w="530"/>
        <w:gridCol w:w="532"/>
        <w:gridCol w:w="161"/>
        <w:gridCol w:w="161"/>
        <w:gridCol w:w="22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Compensation tables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21"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36" descr=""/>
                          <pic:cNvPicPr>
                            <a:picLocks noChangeAspect="1" noChangeArrowheads="1"/>
                          </pic:cNvPicPr>
                        </pic:nvPicPr>
                        <pic:blipFill>
                          <a:blip r:embed="rId237"/>
                          <a:stretch>
                            <a:fillRect/>
                          </a:stretch>
                        </pic:blipFill>
                        <pic:spPr bwMode="auto">
                          <a:xfrm>
                            <a:off x="0" y="0"/>
                            <a:ext cx="228600" cy="180975"/>
                          </a:xfrm>
                          <a:prstGeom prst="rect">
                            <a:avLst/>
                          </a:prstGeom>
                        </pic:spPr>
                      </pic:pic>
                    </a:graphicData>
                  </a:graphic>
                </wp:inline>
              </w:drawing>
            </w:r>
            <w:r>
              <w:rPr>
                <w:color w:val="000000"/>
              </w:rPr>
              <w:t> </w:t>
            </w:r>
          </w:p>
        </w:tc>
      </w:tr>
      <w:tr>
        <w:trPr/>
        <w:tc>
          <w:tcPr>
            <w:tcW w:w="166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Nonqualified Deferred Compensation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following table sets forth information concerning the amount of contributions, earnings and balances for each named executive officer under our Supplemental 401(k) Plan. No named executive officer currently participates in the Voluntary Deferred Compensation Plan.</w:t>
      </w:r>
    </w:p>
    <w:p>
      <w:pPr>
        <w:pStyle w:val="TextBody"/>
        <w:bidi w:val="0"/>
        <w:spacing w:lineRule="auto" w:line="288" w:before="0" w:after="0"/>
        <w:jc w:val="left"/>
        <w:rPr>
          <w:rFonts w:ascii="Lato Bold;sans-serif" w:hAnsi="Lato Bold;sans-serif"/>
          <w:b/>
          <w:color w:val="000000"/>
          <w:sz w:val="22"/>
        </w:rPr>
      </w:pPr>
      <w:r>
        <w:rPr>
          <w:rFonts w:ascii="Lato Bold;sans-serif" w:hAnsi="Lato Bold;sans-serif"/>
          <w:b/>
          <w:color w:val="000000"/>
          <w:sz w:val="22"/>
        </w:rPr>
        <w:t>2024 Nonqualified Deferred Compensation</w:t>
      </w:r>
    </w:p>
    <w:tbl>
      <w:tblPr>
        <w:tblW w:w="7499" w:type="dxa"/>
        <w:jc w:val="left"/>
        <w:tblInd w:w="0" w:type="dxa"/>
        <w:tblLayout w:type="fixed"/>
        <w:tblCellMar>
          <w:top w:w="28" w:type="dxa"/>
          <w:left w:w="28" w:type="dxa"/>
          <w:bottom w:w="28" w:type="dxa"/>
          <w:right w:w="28" w:type="dxa"/>
        </w:tblCellMar>
      </w:tblPr>
      <w:tblGrid>
        <w:gridCol w:w="660"/>
        <w:gridCol w:w="583"/>
        <w:gridCol w:w="586"/>
        <w:gridCol w:w="525"/>
        <w:gridCol w:w="525"/>
        <w:gridCol w:w="526"/>
        <w:gridCol w:w="754"/>
        <w:gridCol w:w="754"/>
        <w:gridCol w:w="756"/>
        <w:gridCol w:w="563"/>
        <w:gridCol w:w="563"/>
        <w:gridCol w:w="704"/>
      </w:tblGrid>
      <w:tr>
        <w:trPr/>
        <w:tc>
          <w:tcPr>
            <w:tcW w:w="6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Name</w:t>
            </w:r>
          </w:p>
        </w:tc>
        <w:tc>
          <w:tcPr>
            <w:tcW w:w="15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Company</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Contributions</w:t>
            </w:r>
          </w:p>
          <w:p>
            <w:pPr>
              <w:pStyle w:val="TableContents"/>
              <w:bidi w:val="0"/>
              <w:spacing w:lineRule="auto" w:line="288" w:before="0" w:after="0"/>
              <w:jc w:val="right"/>
              <w:rPr/>
            </w:pPr>
            <w:r>
              <w:rPr>
                <w:rFonts w:ascii="Lato Bold;sans-serif" w:hAnsi="Lato Bold;sans-serif"/>
                <w:b/>
                <w:color w:val="000000"/>
                <w:sz w:val="19"/>
              </w:rPr>
              <w:t>in 2024</w:t>
              <w:br/>
              <w:t>($)</w:t>
            </w:r>
            <w:r>
              <w:rPr>
                <w:rFonts w:ascii="Lato Bold;sans-serif" w:hAnsi="Lato Bold;sans-serif"/>
                <w:b/>
                <w:color w:val="000000"/>
                <w:sz w:val="12"/>
              </w:rPr>
              <w:t>(1)</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0000"/>
                <w:sz w:val="19"/>
              </w:rPr>
              <w:t>Aggregate Earnings</w:t>
              <w:br/>
              <w:t>in 2024</w:t>
              <w:br/>
              <w:t>($)</w:t>
            </w:r>
            <w:r>
              <w:rPr>
                <w:rFonts w:ascii="Lato Bold;sans-serif" w:hAnsi="Lato Bold;sans-serif"/>
                <w:b/>
                <w:color w:val="000000"/>
                <w:sz w:val="12"/>
              </w:rPr>
              <w:t>(2)</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0000"/>
                <w:sz w:val="19"/>
              </w:rPr>
              <w:t>Aggregate</w:t>
              <w:br/>
              <w:t>Balance at</w:t>
              <w:br/>
              <w:t>December 31,</w:t>
              <w:br/>
              <w:t>2024</w:t>
              <w:br/>
              <w:t>($)</w:t>
            </w:r>
            <w:r>
              <w:rPr>
                <w:rFonts w:ascii="Lato Bold;sans-serif" w:hAnsi="Lato Bold;sans-serif"/>
                <w:b/>
                <w:color w:val="000000"/>
                <w:sz w:val="12"/>
              </w:rPr>
              <w:t>(3)</w:t>
            </w:r>
          </w:p>
        </w:tc>
      </w:tr>
      <w:tr>
        <w:trPr/>
        <w:tc>
          <w:tcPr>
            <w:tcW w:w="182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Michael D. Hsu</w:t>
            </w:r>
          </w:p>
        </w:tc>
        <w:tc>
          <w:tcPr>
            <w:tcW w:w="1050"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444,772 </w:t>
            </w:r>
          </w:p>
        </w:tc>
        <w:tc>
          <w:tcPr>
            <w:tcW w:w="52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224,919 </w:t>
            </w:r>
          </w:p>
        </w:tc>
        <w:tc>
          <w:tcPr>
            <w:tcW w:w="75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2,997,302 </w:t>
            </w:r>
          </w:p>
        </w:tc>
        <w:tc>
          <w:tcPr>
            <w:tcW w:w="704"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Nelson Urdaneta</w:t>
            </w:r>
          </w:p>
        </w:tc>
        <w:tc>
          <w:tcPr>
            <w:tcW w:w="10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182,028 </w:t>
            </w:r>
          </w:p>
        </w:tc>
        <w:tc>
          <w:tcPr>
            <w:tcW w:w="5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22,820 </w:t>
            </w:r>
          </w:p>
        </w:tc>
        <w:tc>
          <w:tcPr>
            <w:tcW w:w="7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341,445 </w:t>
            </w:r>
          </w:p>
        </w:tc>
        <w:tc>
          <w:tcPr>
            <w:tcW w:w="70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Jeffrey Melucci</w:t>
            </w:r>
          </w:p>
        </w:tc>
        <w:tc>
          <w:tcPr>
            <w:tcW w:w="10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152,076 </w:t>
            </w:r>
          </w:p>
        </w:tc>
        <w:tc>
          <w:tcPr>
            <w:tcW w:w="5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91,920 </w:t>
            </w:r>
          </w:p>
        </w:tc>
        <w:tc>
          <w:tcPr>
            <w:tcW w:w="7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1,054,943 </w:t>
            </w:r>
          </w:p>
        </w:tc>
        <w:tc>
          <w:tcPr>
            <w:tcW w:w="70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Zackery Hicks</w:t>
            </w:r>
          </w:p>
        </w:tc>
        <w:tc>
          <w:tcPr>
            <w:tcW w:w="105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201,683 </w:t>
            </w:r>
          </w:p>
        </w:tc>
        <w:tc>
          <w:tcPr>
            <w:tcW w:w="52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13,802 </w:t>
            </w:r>
          </w:p>
        </w:tc>
        <w:tc>
          <w:tcPr>
            <w:tcW w:w="75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337,475 </w:t>
            </w:r>
          </w:p>
        </w:tc>
        <w:tc>
          <w:tcPr>
            <w:tcW w:w="70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Russell Torres</w:t>
            </w:r>
          </w:p>
        </w:tc>
        <w:tc>
          <w:tcPr>
            <w:tcW w:w="1050"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157,906 </w:t>
            </w:r>
          </w:p>
        </w:tc>
        <w:tc>
          <w:tcPr>
            <w:tcW w:w="52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35,320 </w:t>
            </w:r>
          </w:p>
        </w:tc>
        <w:tc>
          <w:tcPr>
            <w:tcW w:w="75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480,352 </w:t>
            </w:r>
          </w:p>
        </w:tc>
        <w:tc>
          <w:tcPr>
            <w:tcW w:w="704"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(1)</w:t>
      </w:r>
      <w:r>
        <w:rPr>
          <w:rFonts w:ascii="Lato;sans-serif" w:hAnsi="Lato;sans-serif"/>
          <w:b w:val="false"/>
          <w:color w:val="000000"/>
          <w:sz w:val="16"/>
        </w:rPr>
        <w:t>Contributions consist solely of amounts accrued by Kimberly-Clark under the Supplemental 401(k) Plan, including the profit-sharing contribution in February 2025 with respect to our performance in 2024. These amounts are included in the Summary Compensation Table and represent a portion of the Defined Contribution Plan Amounts included in All Other Compensation.</w:t>
      </w:r>
    </w:p>
    <w:p>
      <w:pPr>
        <w:pStyle w:val="TextBody"/>
        <w:bidi w:val="0"/>
        <w:spacing w:lineRule="auto" w:line="312" w:before="80" w:after="80"/>
        <w:ind w:left="0" w:right="0" w:hanging="216"/>
        <w:jc w:val="left"/>
        <w:rPr/>
      </w:pPr>
      <w:r>
        <w:rPr>
          <w:rFonts w:ascii="Lato;sans-serif" w:hAnsi="Lato;sans-serif"/>
          <w:b w:val="false"/>
          <w:color w:val="000000"/>
          <w:sz w:val="10"/>
        </w:rPr>
        <w:t>(2)</w:t>
      </w:r>
      <w:r>
        <w:rPr>
          <w:rFonts w:ascii="Lato;sans-serif" w:hAnsi="Lato;sans-serif"/>
          <w:b w:val="false"/>
          <w:color w:val="000000"/>
          <w:sz w:val="16"/>
        </w:rPr>
        <w:t>The amounts in this column show the changes in the aggregate account balance for our named executive officers during 2024 that are not attributable to company contributions. Aggregate earnings are not included in the Summary Compensation Table because the earnings are not above-market or preferential.</w:t>
      </w:r>
    </w:p>
    <w:p>
      <w:pPr>
        <w:pStyle w:val="TextBody"/>
        <w:bidi w:val="0"/>
        <w:spacing w:lineRule="auto" w:line="312" w:before="80" w:after="120"/>
        <w:ind w:left="0" w:right="0" w:hanging="216"/>
        <w:jc w:val="left"/>
        <w:rPr/>
      </w:pPr>
      <w:r>
        <w:rPr>
          <w:rFonts w:ascii="Lato;sans-serif" w:hAnsi="Lato;sans-serif"/>
          <w:b w:val="false"/>
          <w:color w:val="000000"/>
          <w:sz w:val="10"/>
        </w:rPr>
        <w:t>(3)</w:t>
      </w:r>
      <w:r>
        <w:rPr>
          <w:rFonts w:ascii="Lato;sans-serif" w:hAnsi="Lato;sans-serif"/>
          <w:b w:val="false"/>
          <w:color w:val="000000"/>
          <w:sz w:val="16"/>
        </w:rPr>
        <w:t>Balance for the Supplemental 401(k) Plan includes the profit-sharing contribution made in early 2025 with respect to our performance in 2024, as well as the following aggregate amounts that were previously reported in the Summary Compensation Table for 2023 and 2022, combined: Mr. Hsu - $523,401, Mr. Urdaneta - $128,352, Mr. Melucci - $195,754, Mr. Hicks - $117,619, Mr. Torres - $182,478. The information in this footnote is provided to clarify the extent to which the balances shown represent compensation reported in our prior proxy statements, rather than additional currently earned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629920"/>
                <wp:effectExtent l="0" t="0" r="0" b="0"/>
                <wp:wrapNone/>
                <wp:docPr id="322" name="Frame8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80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80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215" w:type="dxa"/>
        <w:jc w:val="left"/>
        <w:tblInd w:w="0" w:type="dxa"/>
        <w:tblLayout w:type="fixed"/>
        <w:tblCellMar>
          <w:top w:w="28" w:type="dxa"/>
          <w:left w:w="28" w:type="dxa"/>
          <w:bottom w:w="28" w:type="dxa"/>
          <w:right w:w="28" w:type="dxa"/>
        </w:tblCellMar>
      </w:tblPr>
      <w:tblGrid>
        <w:gridCol w:w="188"/>
        <w:gridCol w:w="166"/>
        <w:gridCol w:w="167"/>
        <w:gridCol w:w="495"/>
        <w:gridCol w:w="495"/>
        <w:gridCol w:w="70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23"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37" descr=""/>
                          <pic:cNvPicPr>
                            <a:picLocks noChangeAspect="1" noChangeArrowheads="1"/>
                          </pic:cNvPicPr>
                        </pic:nvPicPr>
                        <pic:blipFill>
                          <a:blip r:embed="rId238"/>
                          <a:stretch>
                            <a:fillRect/>
                          </a:stretch>
                        </pic:blipFill>
                        <pic:spPr bwMode="auto">
                          <a:xfrm>
                            <a:off x="0" y="0"/>
                            <a:ext cx="228600" cy="180975"/>
                          </a:xfrm>
                          <a:prstGeom prst="rect">
                            <a:avLst/>
                          </a:prstGeom>
                        </pic:spPr>
                      </pic:pic>
                    </a:graphicData>
                  </a:graphic>
                </wp:inline>
              </w:drawing>
            </w:r>
            <w:r>
              <w:rPr>
                <w:color w:val="000000"/>
              </w:rPr>
              <w:t> </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tables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i/>
          <w:color w:val="000000"/>
          <w:sz w:val="19"/>
        </w:rPr>
      </w:pPr>
      <w:r>
        <w:rPr>
          <w:rFonts w:ascii="Lato;sans-serif" w:hAnsi="Lato;sans-serif"/>
          <w:b w:val="false"/>
          <w:i/>
          <w:color w:val="000000"/>
          <w:sz w:val="19"/>
        </w:rPr>
        <w:t>Overview of 401(k) Profit Sharing Plan and Supplemental 401(k) Plan.</w:t>
      </w:r>
    </w:p>
    <w:tbl>
      <w:tblPr>
        <w:tblW w:w="10205" w:type="dxa"/>
        <w:jc w:val="center"/>
        <w:tblInd w:w="0" w:type="dxa"/>
        <w:tblLayout w:type="fixed"/>
        <w:tblCellMar>
          <w:top w:w="28" w:type="dxa"/>
          <w:left w:w="28" w:type="dxa"/>
          <w:bottom w:w="28" w:type="dxa"/>
          <w:right w:w="28" w:type="dxa"/>
        </w:tblCellMar>
      </w:tblPr>
      <w:tblGrid>
        <w:gridCol w:w="1421"/>
        <w:gridCol w:w="729"/>
        <w:gridCol w:w="734"/>
        <w:gridCol w:w="1444"/>
        <w:gridCol w:w="1444"/>
        <w:gridCol w:w="870"/>
        <w:gridCol w:w="1231"/>
        <w:gridCol w:w="962"/>
        <w:gridCol w:w="1370"/>
      </w:tblGrid>
      <w:tr>
        <w:trPr/>
        <w:tc>
          <w:tcPr>
            <w:tcW w:w="142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37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401(k) Profit Sharing Plan</w:t>
            </w:r>
          </w:p>
        </w:tc>
        <w:tc>
          <w:tcPr>
            <w:tcW w:w="3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Supplemental 401(k) Plan</w:t>
            </w:r>
          </w:p>
        </w:tc>
      </w:tr>
      <w:tr>
        <w:trPr/>
        <w:tc>
          <w:tcPr>
            <w:tcW w:w="2884"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Purpose</w:t>
            </w:r>
          </w:p>
        </w:tc>
        <w:tc>
          <w:tcPr>
            <w:tcW w:w="3758"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To assist employees in saving for retirement, as well as to provide a discretionary profit sharing contribution in which contributions will be based on our profit performance.</w:t>
            </w:r>
          </w:p>
        </w:tc>
        <w:tc>
          <w:tcPr>
            <w:tcW w:w="3563"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To provide benefits based on annual compensation that is not recognized under the 401(k) Profit Sharing Plan as a result of certain limitations imposed by the Internal Revenue Code on qualified defined contribution plans or as a result of deferrals made under the Voluntary Deferred Compensation Plan.</w:t>
            </w:r>
          </w:p>
        </w:tc>
      </w:tr>
      <w:tr>
        <w:trPr/>
        <w:tc>
          <w:tcPr>
            <w:tcW w:w="288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Eligible participants</w:t>
            </w:r>
          </w:p>
        </w:tc>
        <w:tc>
          <w:tcPr>
            <w:tcW w:w="37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Most U.S. employees.</w:t>
            </w:r>
          </w:p>
        </w:tc>
        <w:tc>
          <w:tcPr>
            <w:tcW w:w="356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Salaried employees whose compensation is not recognized under the 401(k) Profit Sharing Plan as a result of certain limitations imposed by the Internal Revenue Code or deferrals under the Voluntary Deferred Compensation Plan.</w:t>
            </w:r>
          </w:p>
        </w:tc>
      </w:tr>
      <w:tr>
        <w:trPr/>
        <w:tc>
          <w:tcPr>
            <w:tcW w:w="288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Is the plan qualified under the Internal Revenue Code?</w:t>
            </w:r>
          </w:p>
        </w:tc>
        <w:tc>
          <w:tcPr>
            <w:tcW w:w="37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Yes.</w:t>
            </w:r>
          </w:p>
        </w:tc>
        <w:tc>
          <w:tcPr>
            <w:tcW w:w="356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No.</w:t>
            </w:r>
          </w:p>
        </w:tc>
      </w:tr>
      <w:tr>
        <w:trPr/>
        <w:tc>
          <w:tcPr>
            <w:tcW w:w="288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Can employees make contributions?</w:t>
            </w:r>
          </w:p>
        </w:tc>
        <w:tc>
          <w:tcPr>
            <w:tcW w:w="37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Yes.</w:t>
            </w:r>
          </w:p>
        </w:tc>
        <w:tc>
          <w:tcPr>
            <w:tcW w:w="356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No.</w:t>
            </w:r>
          </w:p>
        </w:tc>
      </w:tr>
      <w:tr>
        <w:trPr/>
        <w:tc>
          <w:tcPr>
            <w:tcW w:w="288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Do we make contributions or match employee contributions?</w:t>
            </w:r>
          </w:p>
        </w:tc>
        <w:tc>
          <w:tcPr>
            <w:tcW w:w="37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We match 100% of employee contributions, to a yearly maximum of 5% of eligible compensation. In addition, we may make a discretionary profit sharing contribution of 0% to 8% of eligible compensation based on our profit performance.</w:t>
            </w:r>
          </w:p>
        </w:tc>
        <w:tc>
          <w:tcPr>
            <w:tcW w:w="356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We provide credit based on compensation not recognized under the 401(k) Profit Sharing Plan as a result of certain Internal Revenue Code limits or as a result of deferrals under the Voluntary Deferred Compensation Plan.</w:t>
            </w:r>
          </w:p>
        </w:tc>
      </w:tr>
      <w:tr>
        <w:trPr/>
        <w:tc>
          <w:tcPr>
            <w:tcW w:w="288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When do account balances vest?</w:t>
            </w:r>
          </w:p>
        </w:tc>
        <w:tc>
          <w:tcPr>
            <w:tcW w:w="37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Account balances under these plans vest immediately.</w:t>
            </w:r>
          </w:p>
        </w:tc>
        <w:tc>
          <w:tcPr>
            <w:tcW w:w="356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Account balances under these plans vest immediately.</w:t>
            </w:r>
          </w:p>
        </w:tc>
      </w:tr>
      <w:tr>
        <w:trPr/>
        <w:tc>
          <w:tcPr>
            <w:tcW w:w="288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How are account balances invested?</w:t>
            </w:r>
          </w:p>
        </w:tc>
        <w:tc>
          <w:tcPr>
            <w:tcW w:w="3758"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Account balances are invested in certain designated investment options selected by the participant.</w:t>
            </w:r>
          </w:p>
        </w:tc>
        <w:tc>
          <w:tcPr>
            <w:tcW w:w="356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Account balances are credited with earnings and losses as if these account balances were invested in certain designated investment options selected by the participant.</w:t>
            </w:r>
          </w:p>
        </w:tc>
      </w:tr>
      <w:tr>
        <w:trPr/>
        <w:tc>
          <w:tcPr>
            <w:tcW w:w="2884"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When are account balances distributed?</w:t>
            </w:r>
          </w:p>
        </w:tc>
        <w:tc>
          <w:tcPr>
            <w:tcW w:w="3758"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Distributions of the participant’s vested account balance are only available after termination of employment. Loans, hardship and certain other withdrawals are allowed prior to termination of employment for certain vested amounts under the 401(k) Profit Sharing Plan.</w:t>
            </w:r>
          </w:p>
        </w:tc>
        <w:tc>
          <w:tcPr>
            <w:tcW w:w="3563"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Distributions of the participant’s vested account balance are payable after termination of employment in compliance with Section 409A of the Internal Revenue Code.</w:t>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While the Supplemental 401(k) Plan remains unfunded, in 1996 the Board amended a previously established trust and authorized us to make contributions to this trust in order to provide a source of funds to assist us in meeting our liabilities under our supplemental defined contribution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629920"/>
                <wp:effectExtent l="0" t="0" r="0" b="0"/>
                <wp:wrapNone/>
                <wp:docPr id="324" name="Frame8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81</w:t>
                            </w:r>
                          </w:p>
                        </w:tc>
                      </w:tr>
                    </w:tbl>
                    <w:p>
                      <w:pPr>
                        <w:pStyle w:val="TextBody"/>
                        <w:bidi w:val="0"/>
                        <w:spacing w:before="0" w:after="283"/>
                        <w:jc w:val="left"/>
                        <w:rPr/>
                      </w:pPr>
                      <w:r>
                        <w:rPr/>
                      </w:r>
                    </w:p>
                  </w:txbxContent>
                </v:textbox>
                <w10:wrap type="none"/>
              </v:rect>
            </w:pict>
          </mc:Fallback>
        </mc:AlternateContent>
      </w:r>
    </w:p>
    <w:tbl>
      <w:tblPr>
        <w:tblW w:w="2216" w:type="dxa"/>
        <w:jc w:val="left"/>
        <w:tblInd w:w="0" w:type="dxa"/>
        <w:tblLayout w:type="fixed"/>
        <w:tblCellMar>
          <w:top w:w="28" w:type="dxa"/>
          <w:left w:w="28" w:type="dxa"/>
          <w:bottom w:w="28" w:type="dxa"/>
          <w:right w:w="28" w:type="dxa"/>
        </w:tblCellMar>
      </w:tblPr>
      <w:tblGrid>
        <w:gridCol w:w="603"/>
        <w:gridCol w:w="530"/>
        <w:gridCol w:w="532"/>
        <w:gridCol w:w="161"/>
        <w:gridCol w:w="161"/>
        <w:gridCol w:w="22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Compensation tables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25"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38" descr=""/>
                          <pic:cNvPicPr>
                            <a:picLocks noChangeAspect="1" noChangeArrowheads="1"/>
                          </pic:cNvPicPr>
                        </pic:nvPicPr>
                        <pic:blipFill>
                          <a:blip r:embed="rId239"/>
                          <a:stretch>
                            <a:fillRect/>
                          </a:stretch>
                        </pic:blipFill>
                        <pic:spPr bwMode="auto">
                          <a:xfrm>
                            <a:off x="0" y="0"/>
                            <a:ext cx="228600" cy="180975"/>
                          </a:xfrm>
                          <a:prstGeom prst="rect">
                            <a:avLst/>
                          </a:prstGeom>
                        </pic:spPr>
                      </pic:pic>
                    </a:graphicData>
                  </a:graphic>
                </wp:inline>
              </w:drawing>
            </w:r>
            <w:r>
              <w:rPr>
                <w:color w:val="000000"/>
              </w:rPr>
              <w:t> </w:t>
            </w:r>
          </w:p>
        </w:tc>
      </w:tr>
      <w:tr>
        <w:trPr/>
        <w:tc>
          <w:tcPr>
            <w:tcW w:w="166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Potential Payments on Termination or Change of Control</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named executive officers are eligible to receive certain benefits in the event of termination of employment, including following a change of control. This section describes various termination scenarios as well as the payments and benefits payable under those scenarios.</w:t>
      </w:r>
    </w:p>
    <w:p>
      <w:pPr>
        <w:pStyle w:val="TextBody"/>
        <w:bidi w:val="0"/>
        <w:spacing w:lineRule="auto" w:line="288" w:before="300" w:after="120"/>
        <w:jc w:val="left"/>
        <w:rPr>
          <w:rFonts w:ascii="Lato;sans-serif" w:hAnsi="Lato;sans-serif"/>
          <w:b w:val="false"/>
          <w:color w:val="000000"/>
          <w:sz w:val="30"/>
        </w:rPr>
      </w:pPr>
      <w:r>
        <w:rPr>
          <w:rFonts w:ascii="Lato;sans-serif" w:hAnsi="Lato;sans-serif"/>
          <w:b w:val="false"/>
          <w:color w:val="000000"/>
          <w:sz w:val="30"/>
        </w:rPr>
        <w:t>Severance Benefits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We maintain two severance programs that cover our executive officers, depending on the circumstances that result in their termination. Those plans include the Executive Severance Program, which is applicable when an executive officer is terminated following a change of control, and the Severance Pay Plan, which is applicable in the event of certain other involuntary terminations. An executive officer may not receive severance payments under more than one of the programs described below.</w:t>
      </w:r>
    </w:p>
    <w:p>
      <w:pPr>
        <w:pStyle w:val="TextBody"/>
        <w:bidi w:val="0"/>
        <w:spacing w:lineRule="auto" w:line="312" w:before="120" w:after="120"/>
        <w:jc w:val="left"/>
        <w:rPr/>
      </w:pPr>
      <w:r>
        <w:rPr>
          <w:rFonts w:ascii="Lato;sans-serif" w:hAnsi="Lato;sans-serif"/>
          <w:b w:val="false"/>
          <w:i/>
          <w:color w:val="000000"/>
          <w:sz w:val="19"/>
        </w:rPr>
        <w:t xml:space="preserve">Executive Severance Program. </w:t>
      </w:r>
      <w:r>
        <w:rPr>
          <w:rFonts w:ascii="Lato;sans-serif" w:hAnsi="Lato;sans-serif"/>
          <w:b w:val="false"/>
          <w:color w:val="000000"/>
          <w:sz w:val="19"/>
        </w:rPr>
        <w:t>We have agreements under our Executive Severance Program with each named executive officer. The agreements provide that, in the event of a “Qualified Termination of Employment” (as described below), the participant will receive a cash payment in an amount equal to the sum of:</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Two times the sum of annual base salary and the current target annual incentive award,</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 value of any forfeited awards, based on the closing price of our common stock at the date of the participant’s separation from service, of restricted stock and time-vested restricted share units,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 value of the target number of any forfeited performance-based restricted share units multiplied by the average payout percentage for performance-based restricted share awards for the prior three years,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 value of the employer match and an assumed target level profit sharing contribution the named executive officer would have received if he or she had remained employed an additional two years under the 401(k) Profit Sharing Plan and Supplemental 401(k) Plan, and</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 cost of two years of COBRA premiums for medical and dental coverage.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addition, nonqualified stock options will vest and be exercisable within the earlier of five years from the participant’s termination or the remaining term of the option.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 “Qualified Termination of Employment” is a separation of service within two years following a change of control of Kimberly-Clark (as defined in the plan) either involuntarily without cause or by the participant with good reason. In addition, any involuntary separation of service without cause within one year before a change of control will also be determined to be a Qualified Termination of Employment if it is in connection with, or in anticipation of, a change of control.</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individual agreements reflect that the named executive officer is not entitled to a tax gross-up if the named executive officer incurs an excise tax due to the application of Section 280G of the Internal Revenue Code. Instead, payments and benefits payable to the named executive officer will be reduced to the extent doing so would result in the executive retaining a larger after-tax amount, taking into account the income, excise and other taxes imposed on the payments and benefits.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Board has determined the eligibility criteria for participation in the plan. Each named executive officer’s agreement under the Executive Severance Plan provides that the executive will retain in confidence any confidential information known to the executive concerning Kimberly-Clark and Kimberly-Clark’s business so long as such information is not publicly disclosed.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629920"/>
                <wp:effectExtent l="0" t="0" r="0" b="0"/>
                <wp:wrapNone/>
                <wp:docPr id="326" name="Frame8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82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82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215" w:type="dxa"/>
        <w:jc w:val="left"/>
        <w:tblInd w:w="0" w:type="dxa"/>
        <w:tblLayout w:type="fixed"/>
        <w:tblCellMar>
          <w:top w:w="28" w:type="dxa"/>
          <w:left w:w="28" w:type="dxa"/>
          <w:bottom w:w="28" w:type="dxa"/>
          <w:right w:w="28" w:type="dxa"/>
        </w:tblCellMar>
      </w:tblPr>
      <w:tblGrid>
        <w:gridCol w:w="188"/>
        <w:gridCol w:w="166"/>
        <w:gridCol w:w="167"/>
        <w:gridCol w:w="495"/>
        <w:gridCol w:w="495"/>
        <w:gridCol w:w="70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27"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39" descr=""/>
                          <pic:cNvPicPr>
                            <a:picLocks noChangeAspect="1" noChangeArrowheads="1"/>
                          </pic:cNvPicPr>
                        </pic:nvPicPr>
                        <pic:blipFill>
                          <a:blip r:embed="rId240"/>
                          <a:stretch>
                            <a:fillRect/>
                          </a:stretch>
                        </pic:blipFill>
                        <pic:spPr bwMode="auto">
                          <a:xfrm>
                            <a:off x="0" y="0"/>
                            <a:ext cx="228600" cy="180975"/>
                          </a:xfrm>
                          <a:prstGeom prst="rect">
                            <a:avLst/>
                          </a:prstGeom>
                        </pic:spPr>
                      </pic:pic>
                    </a:graphicData>
                  </a:graphic>
                </wp:inline>
              </w:drawing>
            </w:r>
            <w:r>
              <w:rPr>
                <w:color w:val="000000"/>
              </w:rPr>
              <w:t> </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tables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Lato;sans-serif" w:hAnsi="Lato;sans-serif"/>
          <w:b w:val="false"/>
          <w:i/>
          <w:color w:val="000000"/>
          <w:sz w:val="19"/>
        </w:rPr>
        <w:t xml:space="preserve">Severance Pay Plan. </w:t>
      </w:r>
      <w:r>
        <w:rPr>
          <w:rFonts w:ascii="Lato;sans-serif" w:hAnsi="Lato;sans-serif"/>
          <w:b w:val="false"/>
          <w:color w:val="000000"/>
          <w:sz w:val="19"/>
        </w:rPr>
        <w:t>Our Severance Pay Plan generally provides eligible employees (including our named executive officers) severance payments and benefits in the event of certain involuntary terminations. Under the current Severance Pay Plan, a named executive officer (employed for at least one year) whose employment is involuntarily terminated would receive, subject to the Committee’s discretion to modify the applicable amounts: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Two times the sum of annual base salary and the current target annual incentive award,</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If the termination occurs after January 31, the pro-rated current year target annual incentive award,</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An amount equal to the cost of six months of COBRA premiums for medical coverage, and</w:t>
      </w:r>
    </w:p>
    <w:p>
      <w:pPr>
        <w:pStyle w:val="TextBody"/>
        <w:bidi w:val="0"/>
        <w:spacing w:lineRule="auto" w:line="312" w:before="80" w:after="120"/>
        <w:ind w:left="0" w:right="0" w:hanging="216"/>
        <w:jc w:val="left"/>
        <w:rPr/>
      </w:pPr>
      <w:r>
        <w:rPr>
          <w:color w:val="0046C8"/>
        </w:rPr>
        <w:t>•</w:t>
      </w:r>
      <w:r>
        <w:rPr>
          <w:rFonts w:ascii="Lato;sans-serif" w:hAnsi="Lato;sans-serif"/>
          <w:b w:val="false"/>
          <w:color w:val="000000"/>
          <w:sz w:val="19"/>
        </w:rPr>
        <w:t>An amount equal to the cost of 12 months of outplacement services and three months of participation in our employee assistance program.</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If the named executive officer’s employment is involuntarily terminated within the first 12 months of employment, the Severance Pay Plan provides that the named executive officer would receive three months’ base salary.</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Severance pay under the Severance Pay Plan will not be paid to any participant who is terminated for cause (as defined under the plan), is terminated during a period in which the participant is not actively at work for more than 25 weeks (except to the extent otherwise required by law), voluntarily quits or retires, dies or is offered a comparable position (as defined under the plan).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 named executive officer must execute a full and final release of claims against us within a specified period of time following termination to receive severance benefits under our severance pay plans. Under the Severance Pay Plan, if the release has been timely executed, severance benefits are payable as a lump sum cash payment no later than 60 days following the participant’s termination date. Any current year annual incentive award that is payable under the Severance Pay Plan will be paid at the same time as it was payable under the annual cash incentive program, but no later than 60 days following the calendar year of the separation from service.</w:t>
      </w:r>
    </w:p>
    <w:p>
      <w:pPr>
        <w:pStyle w:val="TextBody"/>
        <w:bidi w:val="0"/>
        <w:spacing w:lineRule="auto" w:line="312" w:before="120" w:after="120"/>
        <w:jc w:val="left"/>
        <w:rPr/>
      </w:pPr>
      <w:r>
        <w:rPr>
          <w:rFonts w:ascii="Lato;sans-serif" w:hAnsi="Lato;sans-serif"/>
          <w:b w:val="false"/>
          <w:i/>
          <w:color w:val="000000"/>
          <w:sz w:val="19"/>
        </w:rPr>
        <w:t>Equity Plans.</w:t>
      </w:r>
      <w:r>
        <w:rPr>
          <w:color w:val="000000"/>
        </w:rPr>
        <w:t xml:space="preserve"> </w:t>
      </w:r>
      <w:r>
        <w:rPr>
          <w:rFonts w:ascii="Lato;sans-serif" w:hAnsi="Lato;sans-serif"/>
          <w:b w:val="false"/>
          <w:color w:val="000000"/>
          <w:sz w:val="19"/>
        </w:rPr>
        <w:t>In the event of a “Qualified Termination of Employment” (as described below) of a participant in the Equity Plans in connection with a change of control, all of the participant’s awards not subject to performance goals would become fully vested. Any awards subject to performance goals will vest at the average performance-based restricted share unit payout for awards for the three prior fiscal years. Unless otherwise governed by another applicable plan or agreement, such as the terms of the Executive Severance Program, options in this event would be exercisable for the lesser of three months or the remaining term of the option. If any amounts payable under the Equity Plans result in excise tax due to the application of Section 280G of the Internal Revenue Code, the Equity Plans provide that payments and benefits payable to the named executive officer will be reduced to the extent necessary so that no excise tax will be imposed if doing so would result in the executive retaining a larger after-tax amount, taking into account the income, excise and other taxes imposed on the payments and benefits. A “Qualified Termination of Employment” is a termination of the participant’s employment within two years following a change of control of Kimberly-Clark (as defined in the Equity Plans), unless the termination is by reason of death or disability or unless the termination is by Kimberly-Clark for cause or by the participant without good reason.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Equity Plans provide that, if pending a change of control, the Committee determines that Kimberly-Clark common stock will cease to exist without an adequate replacement security that preserves the economic rights and positions of the participants in the Equity Plans (for example, as a result of the failure of the acquiring company to assume outstanding grants), then all options and stock appreciation rights will become exercisable, in a manner deemed fair and equitable by the Committee, immediately prior to the consummation of the change of control. In addition, the restrictions on all restricted stock will lapse and all restricted share units, performance awards and other stock-based awards will vest immediately prior to the consummation of the change of control and will be settled upon the change of control in cash equal to the fair market value of the restricted share units, performance awards and other stock-based awards at the time of the change of control.</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the event of a termination of employment of a participant in the Equity Plans, other than a Qualified Termination of Employment, death, total and permanent disability or retirement of the participant, the participant will forfeit all unvested restricted stock and restricted share units, and any vested stock options held by the participant will be exercisable for the lesser of three months or the remaining term of the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629920"/>
                <wp:effectExtent l="0" t="0" r="0" b="0"/>
                <wp:wrapNone/>
                <wp:docPr id="328" name="Frame8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83</w:t>
                            </w:r>
                          </w:p>
                        </w:tc>
                      </w:tr>
                    </w:tbl>
                    <w:p>
                      <w:pPr>
                        <w:pStyle w:val="TextBody"/>
                        <w:bidi w:val="0"/>
                        <w:spacing w:before="0" w:after="283"/>
                        <w:jc w:val="left"/>
                        <w:rPr/>
                      </w:pPr>
                      <w:r>
                        <w:rPr/>
                      </w:r>
                    </w:p>
                  </w:txbxContent>
                </v:textbox>
                <w10:wrap type="none"/>
              </v:rect>
            </w:pict>
          </mc:Fallback>
        </mc:AlternateContent>
      </w:r>
    </w:p>
    <w:tbl>
      <w:tblPr>
        <w:tblW w:w="2216" w:type="dxa"/>
        <w:jc w:val="left"/>
        <w:tblInd w:w="0" w:type="dxa"/>
        <w:tblLayout w:type="fixed"/>
        <w:tblCellMar>
          <w:top w:w="28" w:type="dxa"/>
          <w:left w:w="28" w:type="dxa"/>
          <w:bottom w:w="28" w:type="dxa"/>
          <w:right w:w="28" w:type="dxa"/>
        </w:tblCellMar>
      </w:tblPr>
      <w:tblGrid>
        <w:gridCol w:w="603"/>
        <w:gridCol w:w="530"/>
        <w:gridCol w:w="532"/>
        <w:gridCol w:w="161"/>
        <w:gridCol w:w="161"/>
        <w:gridCol w:w="22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Compensation tables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29"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40" descr=""/>
                          <pic:cNvPicPr>
                            <a:picLocks noChangeAspect="1" noChangeArrowheads="1"/>
                          </pic:cNvPicPr>
                        </pic:nvPicPr>
                        <pic:blipFill>
                          <a:blip r:embed="rId241"/>
                          <a:stretch>
                            <a:fillRect/>
                          </a:stretch>
                        </pic:blipFill>
                        <pic:spPr bwMode="auto">
                          <a:xfrm>
                            <a:off x="0" y="0"/>
                            <a:ext cx="228600" cy="180975"/>
                          </a:xfrm>
                          <a:prstGeom prst="rect">
                            <a:avLst/>
                          </a:prstGeom>
                        </pic:spPr>
                      </pic:pic>
                    </a:graphicData>
                  </a:graphic>
                </wp:inline>
              </w:drawing>
            </w:r>
            <w:r>
              <w:rPr>
                <w:color w:val="000000"/>
              </w:rPr>
              <w:t> </w:t>
            </w:r>
          </w:p>
        </w:tc>
      </w:tr>
      <w:tr>
        <w:trPr/>
        <w:tc>
          <w:tcPr>
            <w:tcW w:w="166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20"/>
        <w:jc w:val="left"/>
        <w:rPr>
          <w:rFonts w:ascii="Lato;sans-serif" w:hAnsi="Lato;sans-serif"/>
          <w:b w:val="false"/>
          <w:color w:val="000000"/>
          <w:sz w:val="30"/>
        </w:rPr>
      </w:pPr>
      <w:r>
        <w:rPr>
          <w:rFonts w:ascii="Lato;sans-serif" w:hAnsi="Lato;sans-serif"/>
          <w:b w:val="false"/>
          <w:color w:val="000000"/>
          <w:sz w:val="30"/>
        </w:rPr>
        <w:t>Retirement, Death and Disability</w:t>
      </w:r>
    </w:p>
    <w:p>
      <w:pPr>
        <w:pStyle w:val="TextBody"/>
        <w:bidi w:val="0"/>
        <w:spacing w:lineRule="auto" w:line="312" w:before="120" w:after="120"/>
        <w:jc w:val="left"/>
        <w:rPr/>
      </w:pPr>
      <w:r>
        <w:rPr>
          <w:rFonts w:ascii="Lato;sans-serif" w:hAnsi="Lato;sans-serif"/>
          <w:b w:val="false"/>
          <w:i/>
          <w:color w:val="000000"/>
          <w:sz w:val="19"/>
        </w:rPr>
        <w:t xml:space="preserve">Retirement. </w:t>
      </w:r>
      <w:r>
        <w:rPr>
          <w:rFonts w:ascii="Lato;sans-serif" w:hAnsi="Lato;sans-serif"/>
          <w:b w:val="false"/>
          <w:color w:val="000000"/>
          <w:sz w:val="19"/>
        </w:rPr>
        <w:t>In the event of retirement (separation from service on or after age 55), our named executive officers are entitled to receive:</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Their account balance, if any, under our Voluntary Deferred Compensation Plan,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Their account balance under the Supplemental 401(k) Plan,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Their account balance under the 401(k) Profit Sharing Plan,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Accelerated vesting of unvested stock options, and the options will be exercisable until the earlier of five years or the remaining term of the options,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For units outstanding more than six months after the date of grant, performance-based restricted share units will be payable based on attainment of the performance goal at the end of the restricted period,</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For units outstanding more than six months after the date of grant, time-vested restricted share units received in the regular, annual award process (but not special awards) will be payable in full,</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Annual incentive award payment under the Management Achievement Award Program as determined by the Committee in its discretion,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For participants with at least fifteen years of vesting service and who joined Kimberly-Clark before January 1, 2004, retiree medical credits based on number of years of vesting service (up to a maximum of $104,500 in credits), and</w:t>
      </w:r>
    </w:p>
    <w:p>
      <w:pPr>
        <w:pStyle w:val="TextBody"/>
        <w:bidi w:val="0"/>
        <w:spacing w:lineRule="auto" w:line="312" w:before="80" w:after="120"/>
        <w:ind w:left="0" w:right="0" w:hanging="216"/>
        <w:jc w:val="left"/>
        <w:rPr/>
      </w:pPr>
      <w:r>
        <w:rPr>
          <w:color w:val="0046C8"/>
        </w:rPr>
        <w:t>•</w:t>
      </w:r>
      <w:r>
        <w:rPr>
          <w:rFonts w:ascii="Lato;sans-serif" w:hAnsi="Lato;sans-serif"/>
          <w:b w:val="false"/>
          <w:color w:val="000000"/>
          <w:sz w:val="19"/>
        </w:rPr>
        <w:t>For participants with at least fifteen years of vesting service, continuing coverage under Kimberly-Clark’s group life insurance plan.</w:t>
      </w:r>
    </w:p>
    <w:p>
      <w:pPr>
        <w:pStyle w:val="TextBody"/>
        <w:bidi w:val="0"/>
        <w:spacing w:lineRule="auto" w:line="312" w:before="120" w:after="120"/>
        <w:jc w:val="left"/>
        <w:rPr/>
      </w:pPr>
      <w:r>
        <w:rPr>
          <w:rFonts w:ascii="Lato;sans-serif" w:hAnsi="Lato;sans-serif"/>
          <w:b w:val="false"/>
          <w:i/>
          <w:color w:val="000000"/>
          <w:sz w:val="19"/>
        </w:rPr>
        <w:t xml:space="preserve">Death. </w:t>
      </w:r>
      <w:r>
        <w:rPr>
          <w:rFonts w:ascii="Lato;sans-serif" w:hAnsi="Lato;sans-serif"/>
          <w:b w:val="false"/>
          <w:color w:val="000000"/>
          <w:sz w:val="19"/>
        </w:rPr>
        <w:t>In the event of death while an active employee, the following benefits are payable:</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Their account balance, if any, under our Voluntary Deferred Compensation Plan,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Their account balance under the Supplemental 401(k) Plan,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Their account balance under the 401(k) Profit Sharing Plan,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Accelerated vesting of unvested stock options, and the options will be exercisable until the earlier of three years or the remaining term of the options,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For units outstanding more than six months after the date of grant, time-vested restricted share units received in the regular, annual award process (but not special awards) will be payable in full,</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For units outstanding more than six months after the date of grant, performance-based restricted share units will be vested pro rata, based on attainment of the performance goal at the end of the restricted period, payable within 70 days following the end of the restricted period,</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Annual incentive award payment under the Management Achievement Award Program as determined by the Committee in its discretion, and</w:t>
      </w:r>
    </w:p>
    <w:p>
      <w:pPr>
        <w:pStyle w:val="TextBody"/>
        <w:bidi w:val="0"/>
        <w:spacing w:lineRule="auto" w:line="312" w:before="80" w:after="120"/>
        <w:ind w:left="0" w:right="0" w:hanging="216"/>
        <w:jc w:val="left"/>
        <w:rPr/>
      </w:pPr>
      <w:r>
        <w:rPr>
          <w:color w:val="0046C8"/>
        </w:rPr>
        <w:t>•</w:t>
      </w:r>
      <w:r>
        <w:rPr>
          <w:rFonts w:ascii="Lato;sans-serif" w:hAnsi="Lato;sans-serif"/>
          <w:b w:val="false"/>
          <w:color w:val="000000"/>
          <w:sz w:val="19"/>
        </w:rPr>
        <w:t>Payment of benefits under Kimberly-Clark’s group life insurance plan (which is available to all salaried employees in the U.S.) equal to two times the participant’s annual pay, up to $2 million (plus any additional coverage of three to eight times the participant’s annual pay, in increments of up to $1 million each, purchased by the participant at group rates). Benefits provided by Kimberly-Clark and employee-purchased benefits cannot exceed $6 million.</w:t>
      </w:r>
    </w:p>
    <w:p>
      <w:pPr>
        <w:pStyle w:val="TextBody"/>
        <w:bidi w:val="0"/>
        <w:spacing w:lineRule="auto" w:line="312" w:before="120" w:after="120"/>
        <w:jc w:val="left"/>
        <w:rPr/>
      </w:pPr>
      <w:r>
        <w:rPr>
          <w:rFonts w:ascii="Lato;sans-serif" w:hAnsi="Lato;sans-serif"/>
          <w:b w:val="false"/>
          <w:i/>
          <w:color w:val="000000"/>
          <w:sz w:val="19"/>
        </w:rPr>
        <w:t xml:space="preserve">Disability. </w:t>
      </w:r>
      <w:r>
        <w:rPr>
          <w:rFonts w:ascii="Lato;sans-serif" w:hAnsi="Lato;sans-serif"/>
          <w:b w:val="false"/>
          <w:color w:val="000000"/>
          <w:sz w:val="19"/>
        </w:rPr>
        <w:t>In the event of a separation of service due to a total and permanent disability, as defined in the applicable plan, our named executive officers are entitled to receive:</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Their account balance, if any, under our Voluntary Deferred Compensation Plan,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Accelerated vesting of unvested stock options, and the options will be exercisable until the earlier of three years or the remaining term of the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629920"/>
                <wp:effectExtent l="0" t="0" r="0" b="0"/>
                <wp:wrapNone/>
                <wp:docPr id="330" name="Frame9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84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84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215" w:type="dxa"/>
        <w:jc w:val="left"/>
        <w:tblInd w:w="0" w:type="dxa"/>
        <w:tblLayout w:type="fixed"/>
        <w:tblCellMar>
          <w:top w:w="28" w:type="dxa"/>
          <w:left w:w="28" w:type="dxa"/>
          <w:bottom w:w="28" w:type="dxa"/>
          <w:right w:w="28" w:type="dxa"/>
        </w:tblCellMar>
      </w:tblPr>
      <w:tblGrid>
        <w:gridCol w:w="188"/>
        <w:gridCol w:w="166"/>
        <w:gridCol w:w="167"/>
        <w:gridCol w:w="495"/>
        <w:gridCol w:w="495"/>
        <w:gridCol w:w="70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3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41" descr=""/>
                          <pic:cNvPicPr>
                            <a:picLocks noChangeAspect="1" noChangeArrowheads="1"/>
                          </pic:cNvPicPr>
                        </pic:nvPicPr>
                        <pic:blipFill>
                          <a:blip r:embed="rId242"/>
                          <a:stretch>
                            <a:fillRect/>
                          </a:stretch>
                        </pic:blipFill>
                        <pic:spPr bwMode="auto">
                          <a:xfrm>
                            <a:off x="0" y="0"/>
                            <a:ext cx="228600" cy="180975"/>
                          </a:xfrm>
                          <a:prstGeom prst="rect">
                            <a:avLst/>
                          </a:prstGeom>
                        </pic:spPr>
                      </pic:pic>
                    </a:graphicData>
                  </a:graphic>
                </wp:inline>
              </w:drawing>
            </w:r>
            <w:r>
              <w:rPr>
                <w:color w:val="000000"/>
              </w:rPr>
              <w:t> </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tables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For units outstanding more than six months after the date of grant, time-vested restricted share units received in the regular, annual award process (but not special awards) will be payable in full,</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For units outstanding more than six months after the date of grant, performance-based restricted share units will be vested pro rata, based on attainment of the performance goal at the end of the restricted period, payable within 70 days following the end of the restricted period,</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Annual incentive award payment under the Management Achievement Award Program as determined by the Committee in its discretion,</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Continuing coverage under Kimberly-Clark’s group life insurance plan (available to all U.S. salaried employees), with no requirement to make monthly contributions toward coverage during disability, and</w:t>
      </w:r>
    </w:p>
    <w:p>
      <w:pPr>
        <w:pStyle w:val="TextBody"/>
        <w:bidi w:val="0"/>
        <w:spacing w:lineRule="auto" w:line="312" w:before="80" w:after="120"/>
        <w:ind w:left="0" w:right="0" w:hanging="216"/>
        <w:jc w:val="left"/>
        <w:rPr/>
      </w:pPr>
      <w:r>
        <w:rPr>
          <w:color w:val="0046C8"/>
        </w:rPr>
        <w:t>•</w:t>
      </w:r>
      <w:r>
        <w:rPr>
          <w:rFonts w:ascii="Lato;sans-serif" w:hAnsi="Lato;sans-serif"/>
          <w:b w:val="false"/>
          <w:color w:val="000000"/>
          <w:sz w:val="19"/>
        </w:rPr>
        <w:t>Payment of benefits under Kimberly-Clark’s Long-Term Disability Plan (which is available to all U.S. salaried employees) and Kimberly-Clark’s Executive Long-Term Disability Plan. Long-term disability under the plans would provide income protection of monthly base pay, ranging from a minimum monthly benefit of $50 to a maximum monthly benefit of $40,000. Benefits are reduced by the amount of any other Kimberly-Clark or government-provided income benefits received (but will not be lower than the minimum monthly benefit).</w:t>
      </w:r>
    </w:p>
    <w:p>
      <w:pPr>
        <w:pStyle w:val="TextBody"/>
        <w:bidi w:val="0"/>
        <w:spacing w:lineRule="auto" w:line="288" w:before="300" w:after="120"/>
        <w:jc w:val="left"/>
        <w:rPr>
          <w:rFonts w:ascii="Lato;sans-serif" w:hAnsi="Lato;sans-serif"/>
          <w:b w:val="false"/>
          <w:color w:val="000000"/>
          <w:sz w:val="30"/>
        </w:rPr>
      </w:pPr>
      <w:r>
        <w:rPr>
          <w:rFonts w:ascii="Lato;sans-serif" w:hAnsi="Lato;sans-serif"/>
          <w:b w:val="false"/>
          <w:color w:val="000000"/>
          <w:sz w:val="30"/>
        </w:rPr>
        <w:t>Potential Payments on Termination or Change of Control Table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following table presents the approximate value of (1) the severance benefits for our named executive officers under the Executive Severance Program had a Qualified Termination of Employment under the participant agreement occurred on December 31, 2024; (2) the severance benefits for our named executive officers under the Severance Pay Plan if an involuntary termination had occurred on December 31, 2024; (3) the benefits that would have been payable on the death of our named executive officers on December 31, 2024; (4) the benefits that would have been payable on the total and permanent disability of our named executive officers on December 31, 2024; and (5) the potential payments to Mr. Hsu and Mr. Hicks if they had retired on December 31, 2024. If applicable, amounts in the table were calculated using the closing price of our common stock on December 31, 2024 of $131.04 per share.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termination benefits provided to our executive officers upon their voluntary termination of employment do not discriminate in scope, terms or operation in favor of our executive officers compared to the benefits offered to all salaried employees, so those benefits are not included in the table below. Of our current named executive officers, only Mr. Hsu and Mr. Hicks were eligible to retire as of December 31, 2024; thus, potential payments assuming retirement on that date are not included for the other named executive officers.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amounts presented in the table are in addition to amounts each named executive officer earned or accrued prior to termination, such as the officer’s balances under our Voluntary Deferred Compensation Plan, accrued retirement benefits, previously vested benefits under our qualified and non-qualified plans, previously vested options, restricted stock and restricted share units and accrued salary. For information about these previously earned and accrued amounts, see “Summary Compensation,” “Outstanding Equity Awards,” “Option Exercises and Stock Vested,” and “Nonqualified Deferred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629920"/>
                <wp:effectExtent l="0" t="0" r="0" b="0"/>
                <wp:wrapNone/>
                <wp:docPr id="332" name="Frame9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85</w:t>
                            </w:r>
                          </w:p>
                        </w:tc>
                      </w:tr>
                    </w:tbl>
                    <w:p>
                      <w:pPr>
                        <w:pStyle w:val="TextBody"/>
                        <w:bidi w:val="0"/>
                        <w:spacing w:before="0" w:after="283"/>
                        <w:jc w:val="left"/>
                        <w:rPr/>
                      </w:pPr>
                      <w:r>
                        <w:rPr/>
                      </w:r>
                    </w:p>
                  </w:txbxContent>
                </v:textbox>
                <w10:wrap type="none"/>
              </v:rect>
            </w:pict>
          </mc:Fallback>
        </mc:AlternateContent>
      </w:r>
    </w:p>
    <w:tbl>
      <w:tblPr>
        <w:tblW w:w="2216" w:type="dxa"/>
        <w:jc w:val="left"/>
        <w:tblInd w:w="0" w:type="dxa"/>
        <w:tblLayout w:type="fixed"/>
        <w:tblCellMar>
          <w:top w:w="28" w:type="dxa"/>
          <w:left w:w="28" w:type="dxa"/>
          <w:bottom w:w="28" w:type="dxa"/>
          <w:right w:w="28" w:type="dxa"/>
        </w:tblCellMar>
      </w:tblPr>
      <w:tblGrid>
        <w:gridCol w:w="603"/>
        <w:gridCol w:w="530"/>
        <w:gridCol w:w="532"/>
        <w:gridCol w:w="161"/>
        <w:gridCol w:w="161"/>
        <w:gridCol w:w="229"/>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Compensation tables</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33"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42" descr=""/>
                          <pic:cNvPicPr>
                            <a:picLocks noChangeAspect="1" noChangeArrowheads="1"/>
                          </pic:cNvPicPr>
                        </pic:nvPicPr>
                        <pic:blipFill>
                          <a:blip r:embed="rId243"/>
                          <a:stretch>
                            <a:fillRect/>
                          </a:stretch>
                        </pic:blipFill>
                        <pic:spPr bwMode="auto">
                          <a:xfrm>
                            <a:off x="0" y="0"/>
                            <a:ext cx="228600" cy="180975"/>
                          </a:xfrm>
                          <a:prstGeom prst="rect">
                            <a:avLst/>
                          </a:prstGeom>
                        </pic:spPr>
                      </pic:pic>
                    </a:graphicData>
                  </a:graphic>
                </wp:inline>
              </w:drawing>
            </w:r>
            <w:r>
              <w:rPr>
                <w:color w:val="000000"/>
              </w:rPr>
              <w:t> </w:t>
            </w:r>
          </w:p>
        </w:tc>
      </w:tr>
      <w:tr>
        <w:trPr/>
        <w:tc>
          <w:tcPr>
            <w:tcW w:w="166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Lato Bold;sans-serif" w:hAnsi="Lato Bold;sans-serif"/>
          <w:b/>
          <w:color w:val="000000"/>
          <w:sz w:val="22"/>
        </w:rPr>
      </w:pPr>
      <w:r>
        <w:rPr>
          <w:rFonts w:ascii="Lato Bold;sans-serif" w:hAnsi="Lato Bold;sans-serif"/>
          <w:b/>
          <w:color w:val="000000"/>
          <w:sz w:val="22"/>
        </w:rPr>
        <w:t>Potential Payments on Termination or Change of Control Table</w:t>
      </w:r>
    </w:p>
    <w:tbl>
      <w:tblPr>
        <w:tblW w:w="10297" w:type="dxa"/>
        <w:jc w:val="left"/>
        <w:tblInd w:w="0" w:type="dxa"/>
        <w:tblLayout w:type="fixed"/>
        <w:tblCellMar>
          <w:top w:w="28" w:type="dxa"/>
          <w:left w:w="28" w:type="dxa"/>
          <w:bottom w:w="28" w:type="dxa"/>
          <w:right w:w="28" w:type="dxa"/>
        </w:tblCellMar>
      </w:tblPr>
      <w:tblGrid>
        <w:gridCol w:w="590"/>
        <w:gridCol w:w="521"/>
        <w:gridCol w:w="390"/>
        <w:gridCol w:w="623"/>
        <w:gridCol w:w="623"/>
        <w:gridCol w:w="361"/>
        <w:gridCol w:w="109"/>
        <w:gridCol w:w="109"/>
        <w:gridCol w:w="109"/>
        <w:gridCol w:w="623"/>
        <w:gridCol w:w="623"/>
        <w:gridCol w:w="471"/>
        <w:gridCol w:w="109"/>
        <w:gridCol w:w="109"/>
        <w:gridCol w:w="109"/>
        <w:gridCol w:w="473"/>
        <w:gridCol w:w="473"/>
        <w:gridCol w:w="446"/>
        <w:gridCol w:w="109"/>
        <w:gridCol w:w="109"/>
        <w:gridCol w:w="109"/>
        <w:gridCol w:w="421"/>
        <w:gridCol w:w="405"/>
        <w:gridCol w:w="406"/>
        <w:gridCol w:w="109"/>
        <w:gridCol w:w="109"/>
        <w:gridCol w:w="109"/>
        <w:gridCol w:w="623"/>
        <w:gridCol w:w="623"/>
        <w:gridCol w:w="294"/>
      </w:tblGrid>
      <w:tr>
        <w:trPr/>
        <w:tc>
          <w:tcPr>
            <w:tcW w:w="59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Name</w:t>
            </w:r>
          </w:p>
        </w:tc>
        <w:tc>
          <w:tcPr>
            <w:tcW w:w="16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Cash</w:t>
              <w:br/>
              <w:t>Payment($)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Equity with</w:t>
              <w:br/>
              <w:t>Accelerated</w:t>
              <w:br/>
              <w:t>Vesting($)</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Additional</w:t>
              <w:br/>
              <w:t>Retirement</w:t>
              <w:br/>
              <w:t>Benefits($)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Continued</w:t>
              <w:br/>
              <w:t>Benefits</w:t>
              <w:br/>
              <w:t>and Other</w:t>
              <w:br/>
              <w:t>Amounts($)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Total($)</w:t>
            </w:r>
          </w:p>
        </w:tc>
      </w:tr>
      <w:tr>
        <w:trPr/>
        <w:tc>
          <w:tcPr>
            <w:tcW w:w="1501"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Michael D. Hsu</w:t>
            </w:r>
          </w:p>
        </w:tc>
        <w:tc>
          <w:tcPr>
            <w:tcW w:w="160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Qualified Termination of Employment</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11,525,424 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(1)</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33,579,813 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(2)</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742,500 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(3)</w:t>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32,976 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(4)</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45,880,713 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Involuntary Termination</w:t>
            </w:r>
            <w:r>
              <w:rPr>
                <w:rFonts w:ascii="Lato;sans-serif" w:hAnsi="Lato;sans-serif"/>
                <w:b w:val="false"/>
                <w:color w:val="000000"/>
                <w:sz w:val="12"/>
              </w:rPr>
              <w:t>(5)</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10,875,000 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17,693 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(6)</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10,892,693 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Death</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5,275,424 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(7)</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27,660,790 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(8)</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32,936,214 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Disability</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3,275,424 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(7)</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27,660,790 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(8)</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(9)</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30,936,214 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Retirement</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3,275,424 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(1)</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49,287,253 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52,562,677 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Nelson Urdaneta</w:t>
            </w:r>
          </w:p>
        </w:tc>
        <w:tc>
          <w:tcPr>
            <w:tcW w:w="160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Qualified Termination of Employment</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4,723,003 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(1)</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8,756,511 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(2)</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324,000 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(3)</w:t>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50,856 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(4)</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13,854,370 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Involuntary Termination</w:t>
            </w:r>
            <w:r>
              <w:rPr>
                <w:rFonts w:ascii="Lato;sans-serif" w:hAnsi="Lato;sans-serif"/>
                <w:b w:val="false"/>
                <w:color w:val="000000"/>
                <w:sz w:val="12"/>
              </w:rPr>
              <w:t>(5)</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4,500,000 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21,887 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(6)</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4,521,887 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Death</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6,823,003 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(7)</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6,226,801 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(8)</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13,049,804 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Disability</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1,123,003 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(7)</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6,226,801 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(8)</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(9)</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7,349,804 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Jeffrey Melucci</w:t>
            </w:r>
          </w:p>
        </w:tc>
        <w:tc>
          <w:tcPr>
            <w:tcW w:w="160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Qualified Termination of Employment</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5,015,303 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(1)</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10,154,658 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(2)</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340,200 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(3)</w:t>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50,856 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(4)</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15,561,017 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Involuntary Termination</w:t>
            </w:r>
            <w:r>
              <w:rPr>
                <w:rFonts w:ascii="Lato;sans-serif" w:hAnsi="Lato;sans-serif"/>
                <w:b w:val="false"/>
                <w:color w:val="000000"/>
                <w:sz w:val="12"/>
              </w:rPr>
              <w:t>(5)</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4,770,000 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21,887 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(6)</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4,791,887 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Death</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6,335,303 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(7)</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7,570,667 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(8)</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13,905,970 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Disability</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1,235,303 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(7)</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7,570,667 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(8)</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(9)</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8,805,970 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Zackery Hicks</w:t>
            </w:r>
          </w:p>
        </w:tc>
        <w:tc>
          <w:tcPr>
            <w:tcW w:w="160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Qualified Termination of Employment</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5,352,736 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(1)</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10,087,608 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(2)</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367,200 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(3)</w:t>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15,807,544 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Involuntary Termination</w:t>
            </w:r>
            <w:r>
              <w:rPr>
                <w:rFonts w:ascii="Lato;sans-serif" w:hAnsi="Lato;sans-serif"/>
                <w:b w:val="false"/>
                <w:color w:val="000000"/>
                <w:sz w:val="12"/>
              </w:rPr>
              <w:t>(5)</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5,100,000 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10,007 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(6)</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5,110,007 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Death</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3,272,736 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(7)</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7,752,144 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(8)</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11,024,880 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Disability</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1,272,736 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(7)</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7,752,144 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(8)</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(9)</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9,024,880 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Retirement</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1,272,736 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(1)</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13,825,861 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15,098,597 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Russell Torres</w:t>
            </w:r>
          </w:p>
        </w:tc>
        <w:tc>
          <w:tcPr>
            <w:tcW w:w="160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Qualified Termination of Employment</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4,460,178 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40"/>
              <w:jc w:val="left"/>
              <w:rPr>
                <w:rFonts w:ascii="Lato;sans-serif" w:hAnsi="Lato;sans-serif"/>
                <w:b w:val="false"/>
                <w:color w:val="000000"/>
                <w:sz w:val="12"/>
              </w:rPr>
            </w:pPr>
            <w:r>
              <w:rPr>
                <w:rFonts w:ascii="Lato;sans-serif" w:hAnsi="Lato;sans-serif"/>
                <w:b w:val="false"/>
                <w:color w:val="000000"/>
                <w:sz w:val="12"/>
              </w:rPr>
              <w:t>(1)</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10,738,283 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40"/>
              <w:jc w:val="left"/>
              <w:rPr>
                <w:rFonts w:ascii="Lato;sans-serif" w:hAnsi="Lato;sans-serif"/>
                <w:b w:val="false"/>
                <w:color w:val="000000"/>
                <w:sz w:val="12"/>
              </w:rPr>
            </w:pPr>
            <w:r>
              <w:rPr>
                <w:rFonts w:ascii="Lato;sans-serif" w:hAnsi="Lato;sans-serif"/>
                <w:b w:val="false"/>
                <w:color w:val="000000"/>
                <w:sz w:val="12"/>
              </w:rPr>
              <w:t>(2)</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324,000 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40"/>
              <w:jc w:val="left"/>
              <w:rPr>
                <w:rFonts w:ascii="Lato;sans-serif" w:hAnsi="Lato;sans-serif"/>
                <w:b w:val="false"/>
                <w:color w:val="000000"/>
                <w:sz w:val="12"/>
              </w:rPr>
            </w:pPr>
            <w:r>
              <w:rPr>
                <w:rFonts w:ascii="Lato;sans-serif" w:hAnsi="Lato;sans-serif"/>
                <w:b w:val="false"/>
                <w:color w:val="000000"/>
                <w:sz w:val="12"/>
              </w:rPr>
              <w:t>(3)</w:t>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50,856 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40"/>
              <w:jc w:val="left"/>
              <w:rPr>
                <w:rFonts w:ascii="Lato;sans-serif" w:hAnsi="Lato;sans-serif"/>
                <w:b w:val="false"/>
                <w:color w:val="000000"/>
                <w:sz w:val="12"/>
              </w:rPr>
            </w:pPr>
            <w:r>
              <w:rPr>
                <w:rFonts w:ascii="Lato;sans-serif" w:hAnsi="Lato;sans-serif"/>
                <w:b w:val="false"/>
                <w:color w:val="000000"/>
                <w:sz w:val="12"/>
              </w:rPr>
              <w:t>(4)</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15,573,317 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Involuntary Termination</w:t>
            </w:r>
            <w:r>
              <w:rPr>
                <w:rFonts w:ascii="Lato;sans-serif" w:hAnsi="Lato;sans-serif"/>
                <w:b w:val="false"/>
                <w:color w:val="000000"/>
                <w:sz w:val="12"/>
              </w:rPr>
              <w:t>(5)</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4,500,000 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21,887 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(6)</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4,521,887 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Death</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2,590,178 </w:t>
            </w:r>
          </w:p>
        </w:tc>
        <w:tc>
          <w:tcPr>
            <w:tcW w:w="3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(7)</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8,843,272 </w:t>
            </w:r>
          </w:p>
        </w:tc>
        <w:tc>
          <w:tcPr>
            <w:tcW w:w="47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(8)</w:t>
            </w:r>
          </w:p>
        </w:tc>
        <w:tc>
          <w:tcPr>
            <w:tcW w:w="9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11,433,450 </w:t>
            </w:r>
          </w:p>
        </w:tc>
        <w:tc>
          <w:tcPr>
            <w:tcW w:w="29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bottom w:val="single" w:sz="8" w:space="0" w:color="0046C8"/>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Disability</w:t>
            </w:r>
          </w:p>
        </w:tc>
        <w:tc>
          <w:tcPr>
            <w:tcW w:w="124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860,178 </w:t>
            </w:r>
          </w:p>
        </w:tc>
        <w:tc>
          <w:tcPr>
            <w:tcW w:w="36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(7)</w:t>
            </w:r>
          </w:p>
        </w:tc>
        <w:tc>
          <w:tcPr>
            <w:tcW w:w="124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8,843,272 </w:t>
            </w:r>
          </w:p>
        </w:tc>
        <w:tc>
          <w:tcPr>
            <w:tcW w:w="47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(8)</w:t>
            </w:r>
          </w:p>
        </w:tc>
        <w:tc>
          <w:tcPr>
            <w:tcW w:w="94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0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(9)</w:t>
            </w:r>
          </w:p>
        </w:tc>
        <w:tc>
          <w:tcPr>
            <w:tcW w:w="124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9,703,450 </w:t>
            </w:r>
          </w:p>
        </w:tc>
        <w:tc>
          <w:tcPr>
            <w:tcW w:w="294"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(1)</w:t>
      </w:r>
      <w:r>
        <w:rPr>
          <w:rFonts w:ascii="Lato;sans-serif" w:hAnsi="Lato;sans-serif"/>
          <w:b w:val="false"/>
          <w:color w:val="000000"/>
          <w:sz w:val="16"/>
        </w:rPr>
        <w:t>Assumes the Committee would approve full payment under the Management Achievement Award Program for 2024; actual amount that would be paid is determined by the Committee in its discretion.</w:t>
      </w:r>
    </w:p>
    <w:p>
      <w:pPr>
        <w:pStyle w:val="TextBody"/>
        <w:bidi w:val="0"/>
        <w:spacing w:lineRule="auto" w:line="312" w:before="80" w:after="80"/>
        <w:ind w:left="0" w:right="0" w:hanging="216"/>
        <w:jc w:val="left"/>
        <w:rPr/>
      </w:pPr>
      <w:r>
        <w:rPr>
          <w:rFonts w:ascii="Lato;sans-serif" w:hAnsi="Lato;sans-serif"/>
          <w:b w:val="false"/>
          <w:color w:val="000000"/>
          <w:sz w:val="10"/>
        </w:rPr>
        <w:t>(2)</w:t>
      </w:r>
      <w:r>
        <w:rPr>
          <w:rFonts w:ascii="Lato;sans-serif" w:hAnsi="Lato;sans-serif"/>
          <w:b w:val="false"/>
          <w:color w:val="000000"/>
          <w:sz w:val="16"/>
        </w:rPr>
        <w:t>Assumes vesting of unvested performance-based restricted share units at the average payout percentage for the prior three years. See “Outstanding Equity Awards.” In addition, under the terms of the Equity Plans, if the Committee were to determine that, pending a change of control, our common stock would cease to exist without an adequate replacement security, the payment of this amount would not be contingent upon the Qualified Termination of Employment of the named executive officer. This provision also applies to grants under the Equity Plans to employees other than our named executive officers.</w:t>
      </w:r>
    </w:p>
    <w:p>
      <w:pPr>
        <w:pStyle w:val="TextBody"/>
        <w:bidi w:val="0"/>
        <w:spacing w:lineRule="auto" w:line="312" w:before="80" w:after="80"/>
        <w:ind w:left="0" w:right="0" w:hanging="216"/>
        <w:jc w:val="left"/>
        <w:rPr/>
      </w:pPr>
      <w:r>
        <w:rPr>
          <w:rFonts w:ascii="Lato;sans-serif" w:hAnsi="Lato;sans-serif"/>
          <w:b w:val="false"/>
          <w:color w:val="000000"/>
          <w:sz w:val="10"/>
        </w:rPr>
        <w:t>(3)</w:t>
      </w:r>
      <w:r>
        <w:rPr>
          <w:rFonts w:ascii="Lato;sans-serif" w:hAnsi="Lato;sans-serif"/>
          <w:b w:val="false"/>
          <w:color w:val="000000"/>
          <w:sz w:val="16"/>
        </w:rPr>
        <w:t>Includes the value of two additional years of employer contributions under the 401(k) Profit Sharing Plan and the Supplemental 401(k) Plan, pursuant to the terms of the Executive Severance Plan.</w:t>
      </w:r>
    </w:p>
    <w:p>
      <w:pPr>
        <w:pStyle w:val="TextBody"/>
        <w:bidi w:val="0"/>
        <w:spacing w:lineRule="auto" w:line="312" w:before="80" w:after="80"/>
        <w:ind w:left="0" w:right="0" w:hanging="216"/>
        <w:jc w:val="left"/>
        <w:rPr/>
      </w:pPr>
      <w:r>
        <w:rPr>
          <w:rFonts w:ascii="Lato;sans-serif" w:hAnsi="Lato;sans-serif"/>
          <w:b w:val="false"/>
          <w:color w:val="000000"/>
          <w:sz w:val="10"/>
        </w:rPr>
        <w:t>(4)</w:t>
      </w:r>
      <w:r>
        <w:rPr>
          <w:rFonts w:ascii="Lato;sans-serif" w:hAnsi="Lato;sans-serif"/>
          <w:b w:val="false"/>
          <w:color w:val="000000"/>
          <w:sz w:val="16"/>
        </w:rPr>
        <w:t>Includes an amount equal to 24 months of COBRA medical and dental coverage.</w:t>
      </w:r>
    </w:p>
    <w:p>
      <w:pPr>
        <w:pStyle w:val="TextBody"/>
        <w:bidi w:val="0"/>
        <w:spacing w:lineRule="auto" w:line="312" w:before="80" w:after="80"/>
        <w:ind w:left="0" w:right="0" w:hanging="216"/>
        <w:jc w:val="left"/>
        <w:rPr/>
      </w:pPr>
      <w:r>
        <w:rPr>
          <w:rFonts w:ascii="Lato;sans-serif" w:hAnsi="Lato;sans-serif"/>
          <w:b w:val="false"/>
          <w:color w:val="000000"/>
          <w:sz w:val="10"/>
        </w:rPr>
        <w:t>(5)</w:t>
      </w:r>
      <w:r>
        <w:rPr>
          <w:rFonts w:ascii="Lato;sans-serif" w:hAnsi="Lato;sans-serif"/>
          <w:b w:val="false"/>
          <w:color w:val="000000"/>
          <w:sz w:val="16"/>
        </w:rPr>
        <w:t>Benefits payable under the Severance Pay Plan. For Mr. Hsu and Mr. Hicks, does not include accelerated equity vesting that occurred when they became retirement eligible at age 55. See the benefits payable for these officers for retirement for the amount of this accelerated equity vesting.</w:t>
      </w:r>
    </w:p>
    <w:p>
      <w:pPr>
        <w:pStyle w:val="TextBody"/>
        <w:bidi w:val="0"/>
        <w:spacing w:lineRule="auto" w:line="312" w:before="80" w:after="80"/>
        <w:ind w:left="0" w:right="0" w:hanging="216"/>
        <w:jc w:val="left"/>
        <w:rPr/>
      </w:pPr>
      <w:r>
        <w:rPr>
          <w:rFonts w:ascii="Lato;sans-serif" w:hAnsi="Lato;sans-serif"/>
          <w:b w:val="false"/>
          <w:color w:val="000000"/>
          <w:sz w:val="10"/>
        </w:rPr>
        <w:t>(6)</w:t>
      </w:r>
      <w:r>
        <w:rPr>
          <w:rFonts w:ascii="Lato;sans-serif" w:hAnsi="Lato;sans-serif"/>
          <w:b w:val="false"/>
          <w:color w:val="000000"/>
          <w:sz w:val="16"/>
        </w:rPr>
        <w:t>Includes an amount equal to six months of COBRA medical coverage under each executive’s specific health insurance plan, three months of Employee Assistance Program, and 12 months of outplacement services valued at $10,000.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629920"/>
                <wp:effectExtent l="0" t="0" r="0" b="0"/>
                <wp:wrapNone/>
                <wp:docPr id="334" name="Frame9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86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86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2215" w:type="dxa"/>
        <w:jc w:val="left"/>
        <w:tblInd w:w="0" w:type="dxa"/>
        <w:tblLayout w:type="fixed"/>
        <w:tblCellMar>
          <w:top w:w="28" w:type="dxa"/>
          <w:left w:w="28" w:type="dxa"/>
          <w:bottom w:w="28" w:type="dxa"/>
          <w:right w:w="28" w:type="dxa"/>
        </w:tblCellMar>
      </w:tblPr>
      <w:tblGrid>
        <w:gridCol w:w="188"/>
        <w:gridCol w:w="166"/>
        <w:gridCol w:w="167"/>
        <w:gridCol w:w="495"/>
        <w:gridCol w:w="495"/>
        <w:gridCol w:w="70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35"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43" descr=""/>
                          <pic:cNvPicPr>
                            <a:picLocks noChangeAspect="1" noChangeArrowheads="1"/>
                          </pic:cNvPicPr>
                        </pic:nvPicPr>
                        <pic:blipFill>
                          <a:blip r:embed="rId244"/>
                          <a:stretch>
                            <a:fillRect/>
                          </a:stretch>
                        </pic:blipFill>
                        <pic:spPr bwMode="auto">
                          <a:xfrm>
                            <a:off x="0" y="0"/>
                            <a:ext cx="228600" cy="180975"/>
                          </a:xfrm>
                          <a:prstGeom prst="rect">
                            <a:avLst/>
                          </a:prstGeom>
                        </pic:spPr>
                      </pic:pic>
                    </a:graphicData>
                  </a:graphic>
                </wp:inline>
              </w:drawing>
            </w:r>
            <w:r>
              <w:rPr>
                <w:color w:val="000000"/>
              </w:rPr>
              <w:t> </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Compensation tables</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(7)</w:t>
      </w:r>
      <w:r>
        <w:rPr>
          <w:rFonts w:ascii="Lato;sans-serif" w:hAnsi="Lato;sans-serif"/>
          <w:b w:val="false"/>
          <w:color w:val="000000"/>
          <w:sz w:val="16"/>
        </w:rPr>
        <w:t>For death, includes the payment of benefits under Kimberly-Clark’s group life insurance plan (which is available to all U.S. salaried employees). For death and disability, assumes the Committee would approve full payment under the Management Achievement Award Program for 2024; actual amount that would be paid is determined by the Committee in its discretion. For disability, does not include benefits payable under Kimberly-Clark’s Long-Term Disability Plan (which is available to all U.S. salaried employees) or Kimberly-Clark’s Executive Long-Term Disability Plan, the value of which would be dependent on the life span of the named executive officer and the value of any Kimberly-Clark or government-provided income benefits received.</w:t>
      </w:r>
    </w:p>
    <w:p>
      <w:pPr>
        <w:pStyle w:val="TextBody"/>
        <w:bidi w:val="0"/>
        <w:spacing w:lineRule="auto" w:line="312" w:before="80" w:after="80"/>
        <w:ind w:left="0" w:right="0" w:hanging="216"/>
        <w:jc w:val="left"/>
        <w:rPr/>
      </w:pPr>
      <w:r>
        <w:rPr>
          <w:rFonts w:ascii="Lato;sans-serif" w:hAnsi="Lato;sans-serif"/>
          <w:b w:val="false"/>
          <w:color w:val="000000"/>
          <w:sz w:val="10"/>
        </w:rPr>
        <w:t>(8)</w:t>
      </w:r>
      <w:r>
        <w:rPr>
          <w:rFonts w:ascii="Lato;sans-serif" w:hAnsi="Lato;sans-serif"/>
          <w:b w:val="false"/>
          <w:color w:val="000000"/>
          <w:sz w:val="16"/>
        </w:rPr>
        <w:t>Assumes pro rata vesting of unvested performance-based restricted share units at the maximum level for the 2022, 2023 and 2024 grants. See “Outstanding Equity Awards.”</w:t>
      </w:r>
    </w:p>
    <w:p>
      <w:pPr>
        <w:pStyle w:val="TextBody"/>
        <w:bidi w:val="0"/>
        <w:spacing w:lineRule="auto" w:line="312" w:before="80" w:after="80"/>
        <w:ind w:left="0" w:right="0" w:hanging="216"/>
        <w:jc w:val="left"/>
        <w:rPr/>
      </w:pPr>
      <w:r>
        <w:rPr>
          <w:rFonts w:ascii="Lato;sans-serif" w:hAnsi="Lato;sans-serif"/>
          <w:b w:val="false"/>
          <w:color w:val="000000"/>
          <w:sz w:val="10"/>
        </w:rPr>
        <w:t>(9)</w:t>
      </w:r>
      <w:r>
        <w:rPr>
          <w:rFonts w:ascii="Lato;sans-serif" w:hAnsi="Lato;sans-serif"/>
          <w:b w:val="false"/>
          <w:color w:val="000000"/>
          <w:sz w:val="16"/>
        </w:rPr>
        <w:t>Our named executive officers would be eligible for continuing coverage under Kimberly-Clark’s group life insurance plan assuming total and permanent disability on December 31, 2024, which benefit does not discriminate in scope, terms or operation in favor of our named executive officers compared to the benefits offered to all U.S. salaried employees and is therefore not included in the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Equity Compensation Plan Information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following table gives information about Kimberly-Clark’s common stock that may be issued upon the exercise of options, warrants, and rights under all of Kimberly-Clark’s equity compensation plans as of December 31, 2024.</w:t>
      </w:r>
    </w:p>
    <w:tbl>
      <w:tblPr>
        <w:tblW w:w="10205" w:type="dxa"/>
        <w:jc w:val="left"/>
        <w:tblInd w:w="0" w:type="dxa"/>
        <w:tblLayout w:type="fixed"/>
        <w:tblCellMar>
          <w:top w:w="28" w:type="dxa"/>
          <w:left w:w="28" w:type="dxa"/>
          <w:bottom w:w="28" w:type="dxa"/>
          <w:right w:w="28" w:type="dxa"/>
        </w:tblCellMar>
      </w:tblPr>
      <w:tblGrid>
        <w:gridCol w:w="1296"/>
        <w:gridCol w:w="1140"/>
        <w:gridCol w:w="1143"/>
        <w:gridCol w:w="657"/>
        <w:gridCol w:w="657"/>
        <w:gridCol w:w="658"/>
        <w:gridCol w:w="109"/>
        <w:gridCol w:w="109"/>
        <w:gridCol w:w="109"/>
        <w:gridCol w:w="134"/>
        <w:gridCol w:w="134"/>
        <w:gridCol w:w="134"/>
        <w:gridCol w:w="279"/>
        <w:gridCol w:w="1020"/>
        <w:gridCol w:w="134"/>
        <w:gridCol w:w="726"/>
        <w:gridCol w:w="726"/>
        <w:gridCol w:w="1040"/>
      </w:tblGrid>
      <w:tr>
        <w:trPr/>
        <w:tc>
          <w:tcPr>
            <w:tcW w:w="129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357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9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Number of securities</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to be issued upon</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exercise of</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outstanding options,</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warrants, and rights</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(in millions)</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Weighted average</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exercise price of</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outstanding</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options, warrants,</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and rights</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(b)</w:t>
            </w:r>
          </w:p>
        </w:tc>
        <w:tc>
          <w:tcPr>
            <w:tcW w:w="249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Number of securities</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remaining available for</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future issuance under</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equity compensation plans</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(excluding securities</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reflected in column (a))</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(in millions)</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(c)</w:t>
            </w:r>
          </w:p>
        </w:tc>
      </w:tr>
      <w:tr>
        <w:trPr/>
        <w:tc>
          <w:tcPr>
            <w:tcW w:w="3579" w:type="dxa"/>
            <w:gridSpan w:val="3"/>
            <w:tcBorders>
              <w:top w:val="single" w:sz="8" w:space="0" w:color="0046C8"/>
              <w:bottom w:val="single" w:sz="8" w:space="0" w:color="0046C8"/>
            </w:tcBorders>
            <w:tcMar>
              <w:top w:w="3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Equity compensation plans approved by stockholders</w:t>
            </w:r>
            <w:r>
              <w:rPr>
                <w:rFonts w:ascii="Lato;sans-serif" w:hAnsi="Lato;sans-serif"/>
                <w:b w:val="false"/>
                <w:color w:val="000000"/>
                <w:sz w:val="12"/>
              </w:rPr>
              <w:t>(1)</w:t>
            </w:r>
          </w:p>
        </w:tc>
        <w:tc>
          <w:tcPr>
            <w:tcW w:w="1314" w:type="dxa"/>
            <w:gridSpan w:val="2"/>
            <w:tcBorders>
              <w:top w:val="single" w:sz="8" w:space="0" w:color="0046C8"/>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5.3 </w:t>
            </w:r>
          </w:p>
        </w:tc>
        <w:tc>
          <w:tcPr>
            <w:tcW w:w="658" w:type="dxa"/>
            <w:tcBorders>
              <w:top w:val="single" w:sz="8" w:space="0" w:color="0046C8"/>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6C8"/>
              <w:bottom w:val="single" w:sz="8" w:space="0" w:color="0046C8"/>
            </w:tcBorders>
            <w:tcMar>
              <w:top w:w="30" w:type="dxa"/>
              <w:left w:w="0" w:type="dxa"/>
              <w:bottom w:w="3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(2)</w:t>
            </w:r>
          </w:p>
        </w:tc>
        <w:tc>
          <w:tcPr>
            <w:tcW w:w="402" w:type="dxa"/>
            <w:gridSpan w:val="3"/>
            <w:tcBorders>
              <w:top w:val="single" w:sz="8" w:space="0" w:color="0046C8"/>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46C8"/>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1020" w:type="dxa"/>
            <w:tcBorders>
              <w:top w:val="single" w:sz="8" w:space="0" w:color="0046C8"/>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131.05 </w:t>
            </w:r>
          </w:p>
        </w:tc>
        <w:tc>
          <w:tcPr>
            <w:tcW w:w="134" w:type="dxa"/>
            <w:tcBorders>
              <w:top w:val="single" w:sz="8" w:space="0" w:color="0046C8"/>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8" w:space="0" w:color="0046C8"/>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7.6 </w:t>
            </w:r>
          </w:p>
        </w:tc>
        <w:tc>
          <w:tcPr>
            <w:tcW w:w="1040" w:type="dxa"/>
            <w:tcBorders>
              <w:top w:val="single" w:sz="8" w:space="0" w:color="0046C8"/>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(1)</w:t>
      </w:r>
      <w:r>
        <w:rPr>
          <w:rFonts w:ascii="Lato;sans-serif" w:hAnsi="Lato;sans-serif"/>
          <w:b w:val="false"/>
          <w:color w:val="000000"/>
          <w:sz w:val="16"/>
        </w:rPr>
        <w:t>Includes (a) the stockholder-approved 2021 Plan, effective April 29, 2021, (b) the stockholder-approved 2011 Plan, which effective April 21, 2011 amended and restated the stockholder-approved 2001 Equity Participation Plan, (c) the stockholder-approved 2021 Outside Directors' Compensation Plan, effective April 29, 2021 and (d) the stockholder-approved 2011 Outside Directors' Compensation Plan, which effective April 21, 2011 amended and restated the Outside Directors' Compensation Plan.</w:t>
      </w:r>
    </w:p>
    <w:p>
      <w:pPr>
        <w:pStyle w:val="TextBody"/>
        <w:bidi w:val="0"/>
        <w:spacing w:lineRule="auto" w:line="312" w:before="80" w:after="80"/>
        <w:ind w:left="0" w:right="0" w:hanging="216"/>
        <w:jc w:val="left"/>
        <w:rPr/>
      </w:pPr>
      <w:r>
        <w:rPr>
          <w:rFonts w:ascii="Lato;sans-serif" w:hAnsi="Lato;sans-serif"/>
          <w:b w:val="false"/>
          <w:color w:val="000000"/>
          <w:sz w:val="10"/>
        </w:rPr>
        <w:t>(2)</w:t>
      </w:r>
      <w:r>
        <w:rPr>
          <w:rFonts w:ascii="Lato;sans-serif" w:hAnsi="Lato;sans-serif"/>
          <w:b w:val="false"/>
          <w:color w:val="000000"/>
          <w:sz w:val="16"/>
        </w:rPr>
        <w:t>Includes 2.2 million restricted share units granted under the 2021 Plan (including shares that may be issued pursuant to outstanding performance-based restricted share units, assuming the target award is met; actual shares issued may vary, depending on actual performance). Upon vesting, a share of Kimberly-Clark common stock is issued for each restricted share unit. Column (b) does not take these awards into account because they do not have an exercise price. Also includes 0.1 million restricted share units granted under the 2021 Outside Directors’ Compensation Plan and the 2011 Outside Directors' Compensation Plan. Upon retirement from or any other termination of service from the Board, a share of Kimberly-Clark common stock is issued for each restricted share unit. Column (b) does not take these awards into account because they do not have an exercise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629920"/>
                <wp:effectExtent l="0" t="0" r="0" b="0"/>
                <wp:wrapNone/>
                <wp:docPr id="336" name="Frame9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87</w:t>
                            </w:r>
                          </w:p>
                        </w:tc>
                      </w:tr>
                    </w:tbl>
                    <w:p>
                      <w:pPr>
                        <w:pStyle w:val="TextBody"/>
                        <w:bidi w:val="0"/>
                        <w:spacing w:before="0" w:after="283"/>
                        <w:jc w:val="left"/>
                        <w:rPr/>
                      </w:pPr>
                      <w:r>
                        <w:rPr/>
                      </w:r>
                    </w:p>
                  </w:txbxContent>
                </v:textbox>
                <w10:wrap type="none"/>
              </v:rect>
            </w:pict>
          </mc:Fallback>
        </mc:AlternateContent>
      </w:r>
    </w:p>
    <w:tbl>
      <w:tblPr>
        <w:tblW w:w="893" w:type="dxa"/>
        <w:jc w:val="left"/>
        <w:tblInd w:w="0" w:type="dxa"/>
        <w:tblLayout w:type="fixed"/>
        <w:tblCellMar>
          <w:top w:w="28" w:type="dxa"/>
          <w:left w:w="28" w:type="dxa"/>
          <w:bottom w:w="28" w:type="dxa"/>
          <w:right w:w="28" w:type="dxa"/>
        </w:tblCellMar>
      </w:tblPr>
      <w:tblGrid>
        <w:gridCol w:w="124"/>
        <w:gridCol w:w="109"/>
        <w:gridCol w:w="109"/>
        <w:gridCol w:w="161"/>
        <w:gridCol w:w="161"/>
        <w:gridCol w:w="2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37"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44" descr=""/>
                          <pic:cNvPicPr>
                            <a:picLocks noChangeAspect="1" noChangeArrowheads="1"/>
                          </pic:cNvPicPr>
                        </pic:nvPicPr>
                        <pic:blipFill>
                          <a:blip r:embed="rId245"/>
                          <a:stretch>
                            <a:fillRect/>
                          </a:stretch>
                        </pic:blipFill>
                        <pic:spPr bwMode="auto">
                          <a:xfrm>
                            <a:off x="0" y="0"/>
                            <a:ext cx="228600" cy="180975"/>
                          </a:xfrm>
                          <a:prstGeom prst="rect">
                            <a:avLst/>
                          </a:prstGeom>
                        </pic:spPr>
                      </pic:pic>
                    </a:graphicData>
                  </a:graphic>
                </wp:inline>
              </w:drawing>
            </w:r>
            <w:r>
              <w:rPr>
                <w:color w:val="000000"/>
              </w:rPr>
              <w:t> </w:t>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120"/>
        <w:jc w:val="left"/>
        <w:rPr>
          <w:rFonts w:ascii="Lato;sans-serif" w:hAnsi="Lato;sans-serif"/>
          <w:b w:val="false"/>
          <w:color w:val="0046C8"/>
          <w:sz w:val="48"/>
        </w:rPr>
      </w:pPr>
      <w:r>
        <w:rPr>
          <w:rFonts w:ascii="Lato;sans-serif" w:hAnsi="Lato;sans-serif"/>
          <w:b w:val="false"/>
          <w:color w:val="0046C8"/>
          <w:sz w:val="48"/>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Security Ownership Information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following table shows the number of shares of our common stock beneficially owned as of December 31, 2024, by each director and nominee, by each named executive officer, and by all directors, nominees and executive officers as a group.</w:t>
      </w:r>
    </w:p>
    <w:tbl>
      <w:tblPr>
        <w:tblW w:w="10205" w:type="dxa"/>
        <w:jc w:val="left"/>
        <w:tblInd w:w="0" w:type="dxa"/>
        <w:tblLayout w:type="fixed"/>
        <w:tblCellMar>
          <w:top w:w="28" w:type="dxa"/>
          <w:left w:w="28" w:type="dxa"/>
          <w:bottom w:w="28" w:type="dxa"/>
          <w:right w:w="28" w:type="dxa"/>
        </w:tblCellMar>
      </w:tblPr>
      <w:tblGrid>
        <w:gridCol w:w="1960"/>
        <w:gridCol w:w="1685"/>
        <w:gridCol w:w="1697"/>
        <w:gridCol w:w="961"/>
        <w:gridCol w:w="861"/>
        <w:gridCol w:w="863"/>
        <w:gridCol w:w="137"/>
        <w:gridCol w:w="137"/>
        <w:gridCol w:w="137"/>
        <w:gridCol w:w="515"/>
        <w:gridCol w:w="515"/>
        <w:gridCol w:w="737"/>
      </w:tblGrid>
      <w:tr>
        <w:trPr/>
        <w:tc>
          <w:tcPr>
            <w:tcW w:w="196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5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Name</w:t>
            </w:r>
          </w:p>
        </w:tc>
        <w:tc>
          <w:tcPr>
            <w:tcW w:w="268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0000"/>
                <w:sz w:val="19"/>
              </w:rPr>
              <w:t xml:space="preserve">Number of Shares </w:t>
            </w:r>
            <w:r>
              <w:rPr>
                <w:rFonts w:ascii="Lato Bold;sans-serif" w:hAnsi="Lato Bold;sans-serif"/>
                <w:b/>
                <w:color w:val="000000"/>
                <w:sz w:val="12"/>
              </w:rPr>
              <w:t>(1)(2)(3)(4)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Percent of Class</w:t>
            </w:r>
          </w:p>
        </w:tc>
      </w:tr>
      <w:tr>
        <w:trPr/>
        <w:tc>
          <w:tcPr>
            <w:tcW w:w="5342"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Sylvia M. Burwell</w:t>
            </w:r>
          </w:p>
        </w:tc>
        <w:tc>
          <w:tcPr>
            <w:tcW w:w="1822"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4,072 </w:t>
            </w:r>
          </w:p>
        </w:tc>
        <w:tc>
          <w:tcPr>
            <w:tcW w:w="863"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John W. Culver</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6,518 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Zackery Hicks</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97,561 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2"/>
              </w:rPr>
            </w:pPr>
            <w:r>
              <w:rPr>
                <w:rFonts w:ascii="Lato;sans-serif" w:hAnsi="Lato;sans-serif"/>
                <w:b w:val="false"/>
                <w:color w:val="000000"/>
                <w:sz w:val="12"/>
              </w:rPr>
              <w:t>(5)</w:t>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Michael D. Hsu</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1,152,713 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2"/>
              </w:rPr>
            </w:pPr>
            <w:r>
              <w:rPr>
                <w:rFonts w:ascii="Lato;sans-serif" w:hAnsi="Lato;sans-serif"/>
                <w:b w:val="false"/>
                <w:color w:val="000000"/>
                <w:sz w:val="12"/>
              </w:rPr>
              <w:t>(5)(6)</w:t>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Mae C. Jemison, M.D.</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59,188 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Deeptha Khanna</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2,065 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S. Todd Maclin</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10,663 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Deirdre A. Mahlan</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4,939 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Sherilyn S. McCoy</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10,635 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Jeffrey Melucci</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143,771 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2"/>
              </w:rPr>
            </w:pPr>
            <w:r>
              <w:rPr>
                <w:rFonts w:ascii="Lato;sans-serif" w:hAnsi="Lato;sans-serif"/>
                <w:b w:val="false"/>
                <w:color w:val="000000"/>
                <w:sz w:val="12"/>
              </w:rPr>
              <w:t>(5)</w:t>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Christa S. Quarles</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14,392 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Jaime A. Ramirez</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4,914 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Joseph Romanelli</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233 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Dunia A. Shive</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9,397 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Mark T. Smucker</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9,099 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Russell Torres</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223,622 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2"/>
              </w:rPr>
            </w:pPr>
            <w:r>
              <w:rPr>
                <w:rFonts w:ascii="Lato;sans-serif" w:hAnsi="Lato;sans-serif"/>
                <w:b w:val="false"/>
                <w:color w:val="000000"/>
                <w:sz w:val="12"/>
              </w:rPr>
              <w:t>(5)</w:t>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8"/>
              </w:rPr>
            </w:pPr>
            <w:r>
              <w:rPr>
                <w:rFonts w:ascii="Lato Bold;sans-serif" w:hAnsi="Lato Bold;sans-serif"/>
                <w:b/>
                <w:color w:val="0046C8"/>
                <w:sz w:val="18"/>
              </w:rPr>
              <w:t>Nelson Urdaneta</w:t>
            </w:r>
          </w:p>
        </w:tc>
        <w:tc>
          <w:tcPr>
            <w:tcW w:w="182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83,687 </w:t>
            </w:r>
          </w:p>
        </w:tc>
        <w:tc>
          <w:tcPr>
            <w:tcW w:w="86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000000"/>
                <w:sz w:val="12"/>
              </w:rPr>
            </w:pPr>
            <w:r>
              <w:rPr>
                <w:rFonts w:ascii="Lato;sans-serif" w:hAnsi="Lato;sans-serif"/>
                <w:b w:val="false"/>
                <w:color w:val="000000"/>
                <w:sz w:val="12"/>
              </w:rPr>
              <w:t>(5)</w:t>
            </w:r>
          </w:p>
        </w:tc>
        <w:tc>
          <w:tcPr>
            <w:tcW w:w="176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5342"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All directors, nominees and executive officers as a group (24 persons)</w:t>
            </w:r>
          </w:p>
        </w:tc>
        <w:tc>
          <w:tcPr>
            <w:tcW w:w="1822"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2,121,220 </w:t>
            </w:r>
          </w:p>
        </w:tc>
        <w:tc>
          <w:tcPr>
            <w:tcW w:w="863"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0"/>
              <w:jc w:val="left"/>
              <w:rPr>
                <w:rFonts w:ascii="Lato;sans-serif" w:hAnsi="Lato;sans-serif"/>
                <w:b w:val="false"/>
                <w:color w:val="000000"/>
                <w:sz w:val="12"/>
              </w:rPr>
            </w:pPr>
            <w:r>
              <w:rPr>
                <w:rFonts w:ascii="Lato;sans-serif" w:hAnsi="Lato;sans-serif"/>
                <w:b w:val="false"/>
                <w:color w:val="000000"/>
                <w:sz w:val="12"/>
              </w:rPr>
              <w:t>(5)(7)</w:t>
            </w:r>
          </w:p>
        </w:tc>
        <w:tc>
          <w:tcPr>
            <w:tcW w:w="1767"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bl>
    <w:p>
      <w:pPr>
        <w:pStyle w:val="TextBody"/>
        <w:bidi w:val="0"/>
        <w:spacing w:lineRule="auto" w:line="312" w:before="80" w:after="80"/>
        <w:ind w:left="0" w:right="0" w:hanging="216"/>
        <w:jc w:val="left"/>
        <w:rPr>
          <w:rFonts w:ascii="Lato;sans-serif" w:hAnsi="Lato;sans-serif"/>
          <w:b w:val="false"/>
          <w:color w:val="000000"/>
          <w:sz w:val="16"/>
        </w:rPr>
      </w:pPr>
      <w:r>
        <w:rPr>
          <w:rFonts w:ascii="Lato;sans-serif" w:hAnsi="Lato;sans-serif"/>
          <w:b w:val="false"/>
          <w:color w:val="000000"/>
          <w:sz w:val="16"/>
        </w:rPr>
        <w:t>*    Each director, nominee, named executive officer and the directors, nominees and executive officers as a group, owns less than one percent of the outstanding shares of our common stock.</w:t>
      </w:r>
    </w:p>
    <w:p>
      <w:pPr>
        <w:pStyle w:val="TextBody"/>
        <w:bidi w:val="0"/>
        <w:spacing w:lineRule="auto" w:line="312" w:before="80" w:after="80"/>
        <w:ind w:left="0" w:right="0" w:hanging="216"/>
        <w:jc w:val="left"/>
        <w:rPr/>
      </w:pPr>
      <w:r>
        <w:rPr>
          <w:rFonts w:ascii="Lato;sans-serif" w:hAnsi="Lato;sans-serif"/>
          <w:b w:val="false"/>
          <w:color w:val="000000"/>
          <w:sz w:val="10"/>
        </w:rPr>
        <w:t>(1)</w:t>
      </w:r>
      <w:r>
        <w:rPr>
          <w:rFonts w:ascii="Lato;sans-serif" w:hAnsi="Lato;sans-serif"/>
          <w:b w:val="false"/>
          <w:color w:val="000000"/>
          <w:sz w:val="16"/>
        </w:rPr>
        <w:t>Except as otherwise noted, the directors, nominees and named executive officers, and the directors, nominees and executive officers as a group, have sole voting and investment power with respect to the shares listed.</w:t>
      </w:r>
    </w:p>
    <w:p>
      <w:pPr>
        <w:pStyle w:val="TextBody"/>
        <w:bidi w:val="0"/>
        <w:spacing w:lineRule="auto" w:line="312" w:before="80" w:after="80"/>
        <w:ind w:left="0" w:right="0" w:hanging="216"/>
        <w:jc w:val="left"/>
        <w:rPr/>
      </w:pPr>
      <w:r>
        <w:rPr>
          <w:rFonts w:ascii="Lato;sans-serif" w:hAnsi="Lato;sans-serif"/>
          <w:b w:val="false"/>
          <w:color w:val="000000"/>
          <w:sz w:val="10"/>
        </w:rPr>
        <w:t>(2)</w:t>
      </w:r>
      <w:r>
        <w:rPr>
          <w:rFonts w:ascii="Lato;sans-serif" w:hAnsi="Lato;sans-serif"/>
          <w:b w:val="false"/>
          <w:color w:val="000000"/>
          <w:sz w:val="16"/>
        </w:rPr>
        <w:t>As of the date of this proxy statement, none of the executive officers or directors has pledged any shares of our common stock.</w:t>
      </w:r>
    </w:p>
    <w:p>
      <w:pPr>
        <w:pStyle w:val="TextBody"/>
        <w:bidi w:val="0"/>
        <w:spacing w:lineRule="auto" w:line="312" w:before="80" w:after="80"/>
        <w:ind w:left="0" w:right="0" w:hanging="216"/>
        <w:jc w:val="left"/>
        <w:rPr/>
      </w:pPr>
      <w:r>
        <w:rPr>
          <w:rFonts w:ascii="Lato;sans-serif" w:hAnsi="Lato;sans-serif"/>
          <w:b w:val="false"/>
          <w:color w:val="000000"/>
          <w:sz w:val="10"/>
        </w:rPr>
        <w:t>(3)</w:t>
      </w:r>
      <w:r>
        <w:rPr>
          <w:rFonts w:ascii="Lato;sans-serif" w:hAnsi="Lato;sans-serif"/>
          <w:b w:val="false"/>
          <w:color w:val="000000"/>
          <w:sz w:val="16"/>
        </w:rPr>
        <w:t>Share amounts include unvested restricted share units granted to the following named executive officers under the Equity Plans as indicated below. Amounts representing performance-based restricted share units in the table below represent target levels for these awards. See “Compensation Tables – Outstanding Equity Awards” for additional information regarding these grants.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629920"/>
                <wp:effectExtent l="0" t="0" r="0" b="0"/>
                <wp:wrapNone/>
                <wp:docPr id="338" name="Frame9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88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88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1990" w:type="dxa"/>
        <w:jc w:val="left"/>
        <w:tblInd w:w="0" w:type="dxa"/>
        <w:tblLayout w:type="fixed"/>
        <w:tblCellMar>
          <w:top w:w="28" w:type="dxa"/>
          <w:left w:w="28" w:type="dxa"/>
          <w:bottom w:w="28" w:type="dxa"/>
          <w:right w:w="28" w:type="dxa"/>
        </w:tblCellMar>
      </w:tblPr>
      <w:tblGrid>
        <w:gridCol w:w="188"/>
        <w:gridCol w:w="166"/>
        <w:gridCol w:w="167"/>
        <w:gridCol w:w="429"/>
        <w:gridCol w:w="429"/>
        <w:gridCol w:w="611"/>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39"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45" descr=""/>
                          <pic:cNvPicPr>
                            <a:picLocks noChangeAspect="1" noChangeArrowheads="1"/>
                          </pic:cNvPicPr>
                        </pic:nvPicPr>
                        <pic:blipFill>
                          <a:blip r:embed="rId246"/>
                          <a:stretch>
                            <a:fillRect/>
                          </a:stretch>
                        </pic:blipFill>
                        <pic:spPr bwMode="auto">
                          <a:xfrm>
                            <a:off x="0" y="0"/>
                            <a:ext cx="228600" cy="180975"/>
                          </a:xfrm>
                          <a:prstGeom prst="rect">
                            <a:avLst/>
                          </a:prstGeom>
                        </pic:spPr>
                      </pic:pic>
                    </a:graphicData>
                  </a:graphic>
                </wp:inline>
              </w:drawing>
            </w:r>
            <w:r>
              <w:rPr>
                <w:color w:val="000000"/>
              </w:rPr>
              <w:t> </w:t>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Other information</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51" w:type="dxa"/>
        <w:jc w:val="left"/>
        <w:tblInd w:w="0" w:type="dxa"/>
        <w:tblLayout w:type="fixed"/>
        <w:tblCellMar>
          <w:top w:w="28" w:type="dxa"/>
          <w:left w:w="28" w:type="dxa"/>
          <w:bottom w:w="28" w:type="dxa"/>
          <w:right w:w="28" w:type="dxa"/>
        </w:tblCellMar>
      </w:tblPr>
      <w:tblGrid>
        <w:gridCol w:w="600"/>
        <w:gridCol w:w="528"/>
        <w:gridCol w:w="536"/>
        <w:gridCol w:w="545"/>
        <w:gridCol w:w="545"/>
        <w:gridCol w:w="546"/>
        <w:gridCol w:w="571"/>
        <w:gridCol w:w="571"/>
        <w:gridCol w:w="809"/>
      </w:tblGrid>
      <w:tr>
        <w:trPr/>
        <w:tc>
          <w:tcPr>
            <w:tcW w:w="60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Name</w:t>
            </w:r>
          </w:p>
        </w:tc>
        <w:tc>
          <w:tcPr>
            <w:tcW w:w="16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Time-Vested</w:t>
              <w:br/>
              <w:t>Restricted Share</w:t>
              <w:br/>
              <w:t>Units(#)</w:t>
            </w:r>
          </w:p>
        </w:tc>
        <w:tc>
          <w:tcPr>
            <w:tcW w:w="19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Performance-Based</w:t>
              <w:br/>
              <w:t>Restricted Share</w:t>
              <w:br/>
              <w:t>Units(#)</w:t>
            </w:r>
          </w:p>
        </w:tc>
      </w:tr>
      <w:tr>
        <w:trPr/>
        <w:tc>
          <w:tcPr>
            <w:tcW w:w="1664"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Zackery Hicks</w:t>
            </w:r>
          </w:p>
        </w:tc>
        <w:tc>
          <w:tcPr>
            <w:tcW w:w="1090"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20,341 </w:t>
            </w:r>
          </w:p>
        </w:tc>
        <w:tc>
          <w:tcPr>
            <w:tcW w:w="54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45,192 </w:t>
            </w:r>
          </w:p>
        </w:tc>
        <w:tc>
          <w:tcPr>
            <w:tcW w:w="809"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Michael D. Hsu</w:t>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55,050 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160,537 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Jeffrey Melucci</w:t>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30,906 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37,170 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Russell Torres</w:t>
            </w:r>
          </w:p>
        </w:tc>
        <w:tc>
          <w:tcPr>
            <w:tcW w:w="10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24,508 </w:t>
            </w:r>
          </w:p>
        </w:tc>
        <w:tc>
          <w:tcPr>
            <w:tcW w:w="54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45,829 </w:t>
            </w:r>
          </w:p>
        </w:tc>
        <w:tc>
          <w:tcPr>
            <w:tcW w:w="809"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Nelson Urdaneta</w:t>
            </w:r>
          </w:p>
        </w:tc>
        <w:tc>
          <w:tcPr>
            <w:tcW w:w="1090"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16,000 </w:t>
            </w:r>
          </w:p>
        </w:tc>
        <w:tc>
          <w:tcPr>
            <w:tcW w:w="54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40,551 </w:t>
            </w:r>
          </w:p>
        </w:tc>
        <w:tc>
          <w:tcPr>
            <w:tcW w:w="809"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(4)</w:t>
      </w:r>
      <w:r>
        <w:rPr>
          <w:rFonts w:ascii="Lato;sans-serif" w:hAnsi="Lato;sans-serif"/>
          <w:b w:val="false"/>
          <w:color w:val="000000"/>
          <w:sz w:val="16"/>
        </w:rPr>
        <w:t>For each director who is not an officer or employee of Kimberly-Clark, share amounts include restricted share units granted under our Outside Directors’ Compensation Plan. These awards are restricted and may not be transferred or sold until the Outside Director retires from or otherwise terminates service on the Board. See footnote 4 to the 2024 Outside Director Compensation table for the number of shares of restricted share units that the Outside Directors had outstanding as of December 31, 2024.</w:t>
      </w:r>
    </w:p>
    <w:p>
      <w:pPr>
        <w:pStyle w:val="TextBody"/>
        <w:bidi w:val="0"/>
        <w:spacing w:lineRule="auto" w:line="312" w:before="80" w:after="120"/>
        <w:ind w:left="0" w:right="0" w:hanging="216"/>
        <w:jc w:val="left"/>
        <w:rPr/>
      </w:pPr>
      <w:r>
        <w:rPr>
          <w:rFonts w:ascii="Lato;sans-serif" w:hAnsi="Lato;sans-serif"/>
          <w:b w:val="false"/>
          <w:color w:val="000000"/>
          <w:sz w:val="10"/>
        </w:rPr>
        <w:t>(5)</w:t>
      </w:r>
      <w:r>
        <w:rPr>
          <w:rFonts w:ascii="Lato;sans-serif" w:hAnsi="Lato;sans-serif"/>
          <w:b w:val="false"/>
          <w:color w:val="000000"/>
          <w:sz w:val="16"/>
        </w:rPr>
        <w:t>Includes shares of common stock held by the trustee of the 401(k) Profit Sharing Plan for the benefit of, and that are attributable to, the accounts in the plans of, the named executive officers. Also includes the following shares which could be acquired within 60 days of December 31, 2024 by:</w:t>
      </w:r>
    </w:p>
    <w:tbl>
      <w:tblPr>
        <w:tblW w:w="10205" w:type="dxa"/>
        <w:jc w:val="left"/>
        <w:tblInd w:w="0" w:type="dxa"/>
        <w:tblLayout w:type="fixed"/>
        <w:tblCellMar>
          <w:top w:w="28" w:type="dxa"/>
          <w:left w:w="28" w:type="dxa"/>
          <w:bottom w:w="28" w:type="dxa"/>
          <w:right w:w="28" w:type="dxa"/>
        </w:tblCellMar>
      </w:tblPr>
      <w:tblGrid>
        <w:gridCol w:w="2214"/>
        <w:gridCol w:w="1940"/>
        <w:gridCol w:w="1969"/>
        <w:gridCol w:w="1195"/>
        <w:gridCol w:w="1195"/>
        <w:gridCol w:w="1692"/>
      </w:tblGrid>
      <w:tr>
        <w:trPr/>
        <w:tc>
          <w:tcPr>
            <w:tcW w:w="2214"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r>
      <w:tr>
        <w:trPr/>
        <w:tc>
          <w:tcPr>
            <w:tcW w:w="61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6"/>
              </w:rPr>
            </w:pPr>
            <w:r>
              <w:rPr>
                <w:rFonts w:ascii="Lato Bold;sans-serif" w:hAnsi="Lato Bold;sans-serif"/>
                <w:b/>
                <w:color w:val="000000"/>
                <w:sz w:val="16"/>
              </w:rPr>
              <w:t>Name</w:t>
            </w:r>
          </w:p>
        </w:tc>
        <w:tc>
          <w:tcPr>
            <w:tcW w:w="40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6"/>
              </w:rPr>
            </w:pPr>
            <w:r>
              <w:rPr>
                <w:rFonts w:ascii="Lato Bold;sans-serif" w:hAnsi="Lato Bold;sans-serif"/>
                <w:b/>
                <w:color w:val="000000"/>
                <w:sz w:val="16"/>
              </w:rPr>
              <w:t>Number of Shares That Could be Acquired</w:t>
              <w:br/>
              <w:t>Within 60 Days of December 31, 2024</w:t>
            </w:r>
          </w:p>
        </w:tc>
      </w:tr>
      <w:tr>
        <w:trPr/>
        <w:tc>
          <w:tcPr>
            <w:tcW w:w="6123"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Zackery Hicks</w:t>
            </w:r>
          </w:p>
        </w:tc>
        <w:tc>
          <w:tcPr>
            <w:tcW w:w="2390"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27,316 </w:t>
            </w:r>
          </w:p>
        </w:tc>
        <w:tc>
          <w:tcPr>
            <w:tcW w:w="1692"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Michael D. Hsu</w:t>
            </w:r>
          </w:p>
        </w:tc>
        <w:tc>
          <w:tcPr>
            <w:tcW w:w="23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739,776 </w:t>
            </w:r>
          </w:p>
        </w:tc>
        <w:tc>
          <w:tcPr>
            <w:tcW w:w="1692"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Jeffrey Melucci</w:t>
            </w:r>
          </w:p>
        </w:tc>
        <w:tc>
          <w:tcPr>
            <w:tcW w:w="23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55,760 </w:t>
            </w:r>
          </w:p>
        </w:tc>
        <w:tc>
          <w:tcPr>
            <w:tcW w:w="1692"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Russell Torres</w:t>
            </w:r>
          </w:p>
        </w:tc>
        <w:tc>
          <w:tcPr>
            <w:tcW w:w="23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114,529 </w:t>
            </w:r>
          </w:p>
        </w:tc>
        <w:tc>
          <w:tcPr>
            <w:tcW w:w="1692"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46C8"/>
                <w:sz w:val="16"/>
              </w:rPr>
            </w:pPr>
            <w:r>
              <w:rPr>
                <w:rFonts w:ascii="Lato Bold;sans-serif" w:hAnsi="Lato Bold;sans-serif"/>
                <w:b/>
                <w:color w:val="0046C8"/>
                <w:sz w:val="16"/>
              </w:rPr>
              <w:t>Nelson Urdaneta</w:t>
            </w:r>
          </w:p>
        </w:tc>
        <w:tc>
          <w:tcPr>
            <w:tcW w:w="239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18,968 </w:t>
            </w:r>
          </w:p>
        </w:tc>
        <w:tc>
          <w:tcPr>
            <w:tcW w:w="1692"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All directors, nominees and executive officers as a group (26 persons)</w:t>
            </w:r>
          </w:p>
        </w:tc>
        <w:tc>
          <w:tcPr>
            <w:tcW w:w="2390"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1,039,825 </w:t>
            </w:r>
          </w:p>
        </w:tc>
        <w:tc>
          <w:tcPr>
            <w:tcW w:w="1692"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rFonts w:ascii="Lato;sans-serif" w:hAnsi="Lato;sans-serif"/>
          <w:b w:val="false"/>
          <w:color w:val="000000"/>
          <w:sz w:val="10"/>
        </w:rPr>
        <w:t>(6)</w:t>
      </w:r>
      <w:r>
        <w:rPr>
          <w:rFonts w:ascii="Lato;sans-serif" w:hAnsi="Lato;sans-serif"/>
          <w:b w:val="false"/>
          <w:color w:val="000000"/>
          <w:sz w:val="16"/>
        </w:rPr>
        <w:t>Includes 21,991 shares held by a family trust for the benefit of Mr. Hsu’s spouse and certain other relatives. Mr. Hsu’s spouse is trustee of the trust. Mr. Hsu shares voting control over the shares held by the trust.</w:t>
      </w:r>
    </w:p>
    <w:p>
      <w:pPr>
        <w:pStyle w:val="TextBody"/>
        <w:bidi w:val="0"/>
        <w:spacing w:lineRule="auto" w:line="312" w:before="80" w:after="80"/>
        <w:ind w:left="0" w:right="0" w:hanging="216"/>
        <w:jc w:val="left"/>
        <w:rPr/>
      </w:pPr>
      <w:r>
        <w:rPr>
          <w:rFonts w:ascii="Lato;sans-serif" w:hAnsi="Lato;sans-serif"/>
          <w:b w:val="false"/>
          <w:color w:val="000000"/>
          <w:sz w:val="10"/>
        </w:rPr>
        <w:t>(7)</w:t>
      </w:r>
      <w:r>
        <w:rPr>
          <w:rFonts w:ascii="Lato;sans-serif" w:hAnsi="Lato;sans-serif"/>
          <w:b w:val="false"/>
          <w:color w:val="000000"/>
          <w:sz w:val="16"/>
        </w:rPr>
        <w:t>Voting and investment power with respect to 21,991 of the shares is shared.</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Our Corporate Governance Policies provide that, within three years of joining the Board, all Outside Directors should own an amount of our common stock or share units at least equal in value to three times the annual Board cash compensation. For the purpose of these stock ownership guidelines, a director is deemed to own beneficially-owned shares, as well as restricted share units (whether or not any applicable restrictions have lapsed), but not stock options (whether vested or unvested). As of December 31, 2024, each Outside Director has met the specified ownership level or is still within three years of joining the Board.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following table sets forth the information, as of December 31, 2024, regarding persons or groups known to us to be beneficial owners of more than five percent of our common stock.</w:t>
      </w:r>
    </w:p>
    <w:tbl>
      <w:tblPr>
        <w:tblW w:w="8806" w:type="dxa"/>
        <w:jc w:val="left"/>
        <w:tblInd w:w="0" w:type="dxa"/>
        <w:tblLayout w:type="fixed"/>
        <w:tblCellMar>
          <w:top w:w="28" w:type="dxa"/>
          <w:left w:w="28" w:type="dxa"/>
          <w:bottom w:w="28" w:type="dxa"/>
          <w:right w:w="28" w:type="dxa"/>
        </w:tblCellMar>
      </w:tblPr>
      <w:tblGrid>
        <w:gridCol w:w="1608"/>
        <w:gridCol w:w="1412"/>
        <w:gridCol w:w="1419"/>
        <w:gridCol w:w="730"/>
        <w:gridCol w:w="730"/>
        <w:gridCol w:w="731"/>
        <w:gridCol w:w="444"/>
        <w:gridCol w:w="444"/>
        <w:gridCol w:w="1288"/>
      </w:tblGrid>
      <w:tr>
        <w:trPr/>
        <w:tc>
          <w:tcPr>
            <w:tcW w:w="16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Name and Address of Beneficial Owner</w:t>
            </w:r>
          </w:p>
        </w:tc>
        <w:tc>
          <w:tcPr>
            <w:tcW w:w="21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Number of Shares</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of Common Stock</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Beneficially Owned</w:t>
            </w:r>
          </w:p>
        </w:tc>
        <w:tc>
          <w:tcPr>
            <w:tcW w:w="217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Percentage</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of Common</w:t>
            </w:r>
          </w:p>
          <w:p>
            <w:pPr>
              <w:pStyle w:val="TableContents"/>
              <w:bidi w:val="0"/>
              <w:spacing w:lineRule="auto" w:line="288" w:before="0" w:after="0"/>
              <w:jc w:val="right"/>
              <w:rPr>
                <w:rFonts w:ascii="Lato Bold;sans-serif" w:hAnsi="Lato Bold;sans-serif"/>
                <w:b/>
                <w:color w:val="000000"/>
                <w:sz w:val="19"/>
              </w:rPr>
            </w:pPr>
            <w:r>
              <w:rPr>
                <w:rFonts w:ascii="Lato Bold;sans-serif" w:hAnsi="Lato Bold;sans-serif"/>
                <w:b/>
                <w:color w:val="000000"/>
                <w:sz w:val="19"/>
              </w:rPr>
              <w:t>Stock Outstanding</w:t>
            </w:r>
          </w:p>
        </w:tc>
      </w:tr>
      <w:tr>
        <w:trPr/>
        <w:tc>
          <w:tcPr>
            <w:tcW w:w="443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0"/>
              <w:jc w:val="left"/>
              <w:rPr/>
            </w:pPr>
            <w:r>
              <w:rPr>
                <w:rFonts w:ascii="Lato;sans-serif" w:hAnsi="Lato;sans-serif"/>
                <w:b w:val="false"/>
                <w:color w:val="000000"/>
                <w:sz w:val="18"/>
              </w:rPr>
              <w:t>The Vanguard Group Inc.</w:t>
            </w:r>
            <w:r>
              <w:rPr>
                <w:rFonts w:ascii="Lato;sans-serif" w:hAnsi="Lato;sans-serif"/>
                <w:b w:val="false"/>
                <w:color w:val="000000"/>
                <w:sz w:val="12"/>
              </w:rPr>
              <w:t>(1)</w:t>
            </w:r>
          </w:p>
          <w:p>
            <w:pPr>
              <w:pStyle w:val="TableContents"/>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100 Vanguard Boulevard</w:t>
            </w:r>
          </w:p>
          <w:p>
            <w:pPr>
              <w:pStyle w:val="TableContents"/>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Malvern, PA 19355</w:t>
            </w:r>
          </w:p>
        </w:tc>
        <w:tc>
          <w:tcPr>
            <w:tcW w:w="1460"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35,133,806 </w:t>
            </w:r>
          </w:p>
        </w:tc>
        <w:tc>
          <w:tcPr>
            <w:tcW w:w="73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10.5 </w:t>
            </w:r>
          </w:p>
        </w:tc>
        <w:tc>
          <w:tcPr>
            <w:tcW w:w="1288"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r>
      <w:tr>
        <w:trPr/>
        <w:tc>
          <w:tcPr>
            <w:tcW w:w="443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0"/>
              <w:jc w:val="left"/>
              <w:rPr/>
            </w:pPr>
            <w:r>
              <w:rPr>
                <w:rFonts w:ascii="Lato;sans-serif" w:hAnsi="Lato;sans-serif"/>
                <w:b w:val="false"/>
                <w:color w:val="000000"/>
                <w:sz w:val="18"/>
              </w:rPr>
              <w:t>BlackRock, Inc.</w:t>
            </w:r>
            <w:r>
              <w:rPr>
                <w:rFonts w:ascii="Lato;sans-serif" w:hAnsi="Lato;sans-serif"/>
                <w:b w:val="false"/>
                <w:color w:val="000000"/>
                <w:sz w:val="12"/>
              </w:rPr>
              <w:t>(2)</w:t>
            </w:r>
          </w:p>
          <w:p>
            <w:pPr>
              <w:pStyle w:val="TableContents"/>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50 Hudson Yards</w:t>
            </w:r>
          </w:p>
          <w:p>
            <w:pPr>
              <w:pStyle w:val="TableContents"/>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New York, NY 10001</w:t>
            </w:r>
          </w:p>
        </w:tc>
        <w:tc>
          <w:tcPr>
            <w:tcW w:w="1460"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31,053,858 </w:t>
            </w:r>
          </w:p>
        </w:tc>
        <w:tc>
          <w:tcPr>
            <w:tcW w:w="73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9.2 </w:t>
            </w:r>
          </w:p>
        </w:tc>
        <w:tc>
          <w:tcPr>
            <w:tcW w:w="1288" w:type="dxa"/>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443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0"/>
              <w:jc w:val="left"/>
              <w:rPr/>
            </w:pPr>
            <w:r>
              <w:rPr>
                <w:rFonts w:ascii="Lato;sans-serif" w:hAnsi="Lato;sans-serif"/>
                <w:b w:val="false"/>
                <w:color w:val="000000"/>
                <w:sz w:val="18"/>
              </w:rPr>
              <w:t>State Street Corporation</w:t>
            </w:r>
            <w:r>
              <w:rPr>
                <w:rFonts w:ascii="Lato;sans-serif" w:hAnsi="Lato;sans-serif"/>
                <w:b w:val="false"/>
                <w:color w:val="000000"/>
                <w:sz w:val="12"/>
              </w:rPr>
              <w:t>(3)</w:t>
            </w:r>
          </w:p>
          <w:p>
            <w:pPr>
              <w:pStyle w:val="TableContents"/>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 xml:space="preserve">State Street Financial Center </w:t>
            </w:r>
          </w:p>
          <w:p>
            <w:pPr>
              <w:pStyle w:val="TableContents"/>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 xml:space="preserve">1 Congress Street, Suite 1 </w:t>
            </w:r>
          </w:p>
          <w:p>
            <w:pPr>
              <w:pStyle w:val="TableContents"/>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Boston, MA 02114-2016</w:t>
            </w:r>
          </w:p>
        </w:tc>
        <w:tc>
          <w:tcPr>
            <w:tcW w:w="1460"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18,321,389 </w:t>
            </w:r>
          </w:p>
        </w:tc>
        <w:tc>
          <w:tcPr>
            <w:tcW w:w="73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5.4 </w:t>
            </w:r>
          </w:p>
        </w:tc>
        <w:tc>
          <w:tcPr>
            <w:tcW w:w="1288"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629920"/>
                <wp:effectExtent l="0" t="0" r="0" b="0"/>
                <wp:wrapNone/>
                <wp:docPr id="340" name="Frame9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89</w:t>
                            </w:r>
                          </w:p>
                        </w:tc>
                      </w:tr>
                    </w:tbl>
                    <w:p>
                      <w:pPr>
                        <w:pStyle w:val="TextBody"/>
                        <w:bidi w:val="0"/>
                        <w:spacing w:before="0" w:after="283"/>
                        <w:jc w:val="left"/>
                        <w:rPr/>
                      </w:pPr>
                      <w:r>
                        <w:rPr/>
                      </w:r>
                    </w:p>
                  </w:txbxContent>
                </v:textbox>
                <w10:wrap type="none"/>
              </v:rect>
            </w:pict>
          </mc:Fallback>
        </mc:AlternateContent>
      </w:r>
    </w:p>
    <w:tbl>
      <w:tblPr>
        <w:tblW w:w="1991" w:type="dxa"/>
        <w:jc w:val="left"/>
        <w:tblInd w:w="0" w:type="dxa"/>
        <w:tblLayout w:type="fixed"/>
        <w:tblCellMar>
          <w:top w:w="28" w:type="dxa"/>
          <w:left w:w="28" w:type="dxa"/>
          <w:bottom w:w="28" w:type="dxa"/>
          <w:right w:w="28" w:type="dxa"/>
        </w:tblCellMar>
      </w:tblPr>
      <w:tblGrid>
        <w:gridCol w:w="521"/>
        <w:gridCol w:w="459"/>
        <w:gridCol w:w="460"/>
        <w:gridCol w:w="161"/>
        <w:gridCol w:w="161"/>
        <w:gridCol w:w="229"/>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Other information</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41"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246" descr=""/>
                          <pic:cNvPicPr>
                            <a:picLocks noChangeAspect="1" noChangeArrowheads="1"/>
                          </pic:cNvPicPr>
                        </pic:nvPicPr>
                        <pic:blipFill>
                          <a:blip r:embed="rId247"/>
                          <a:stretch>
                            <a:fillRect/>
                          </a:stretch>
                        </pic:blipFill>
                        <pic:spPr bwMode="auto">
                          <a:xfrm>
                            <a:off x="0" y="0"/>
                            <a:ext cx="228600" cy="180975"/>
                          </a:xfrm>
                          <a:prstGeom prst="rect">
                            <a:avLst/>
                          </a:prstGeom>
                        </pic:spPr>
                      </pic:pic>
                    </a:graphicData>
                  </a:graphic>
                </wp:inline>
              </w:drawing>
            </w:r>
            <w:r>
              <w:rPr>
                <w:color w:val="000000"/>
              </w:rPr>
              <w:t> </w:t>
            </w:r>
          </w:p>
        </w:tc>
      </w:tr>
      <w:tr>
        <w:trPr/>
        <w:tc>
          <w:tcPr>
            <w:tcW w:w="144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Lato;sans-serif" w:hAnsi="Lato;sans-serif"/>
          <w:b w:val="false"/>
          <w:color w:val="000000"/>
          <w:sz w:val="10"/>
        </w:rPr>
        <w:t>(1)</w:t>
      </w:r>
      <w:r>
        <w:rPr>
          <w:rFonts w:ascii="Lato;sans-serif" w:hAnsi="Lato;sans-serif"/>
          <w:b w:val="false"/>
          <w:color w:val="000000"/>
          <w:sz w:val="16"/>
        </w:rPr>
        <w:t>The address, number and percentage of shares of our common stock beneficially owned by The Vanguard Group Inc. (“Vanguard”) are based on the Schedule 13G/A filed by Vanguard with the SEC on January 8, 2025. According to the filing, Vanguard had sole dispositive power with respect to 33,554,273 shares, shared dispositive power with respect to 1,579,533 shares, shared voting power with respect to 417,006 shares, and did not have sole voting power as to any shares.</w:t>
      </w:r>
    </w:p>
    <w:p>
      <w:pPr>
        <w:pStyle w:val="TextBody"/>
        <w:bidi w:val="0"/>
        <w:spacing w:lineRule="auto" w:line="288" w:before="80" w:after="80"/>
        <w:ind w:left="0" w:right="0" w:hanging="216"/>
        <w:jc w:val="left"/>
        <w:rPr/>
      </w:pPr>
      <w:r>
        <w:rPr>
          <w:rFonts w:ascii="Lato;sans-serif" w:hAnsi="Lato;sans-serif"/>
          <w:b w:val="false"/>
          <w:color w:val="000000"/>
          <w:sz w:val="10"/>
        </w:rPr>
        <w:t>(2)</w:t>
      </w:r>
      <w:r>
        <w:rPr>
          <w:rFonts w:ascii="Lato;sans-serif" w:hAnsi="Lato;sans-serif"/>
          <w:b w:val="false"/>
          <w:color w:val="000000"/>
          <w:sz w:val="16"/>
        </w:rPr>
        <w:t>The address, number and percentage of shares of our common stock beneficially owned by BlackRock, Inc. (“BlackRock”) are based on the Schedule 13G/A filed by BlackRock with the SEC on January 24, 2024. According to the filing, BlackRock had sole voting power with respect to 28,257,311 shares, sole dispositive power with respect to 31,053,858 shares, and did not have shared voting or dispositive power as to any shares.</w:t>
      </w:r>
    </w:p>
    <w:p>
      <w:pPr>
        <w:pStyle w:val="TextBody"/>
        <w:bidi w:val="0"/>
        <w:spacing w:lineRule="auto" w:line="288" w:before="80" w:after="80"/>
        <w:ind w:left="0" w:right="0" w:hanging="216"/>
        <w:jc w:val="left"/>
        <w:rPr/>
      </w:pPr>
      <w:r>
        <w:rPr>
          <w:rFonts w:ascii="Lato;sans-serif" w:hAnsi="Lato;sans-serif"/>
          <w:b w:val="false"/>
          <w:color w:val="000000"/>
          <w:sz w:val="10"/>
        </w:rPr>
        <w:t>(3)</w:t>
      </w:r>
      <w:r>
        <w:rPr>
          <w:rFonts w:ascii="Lato;sans-serif" w:hAnsi="Lato;sans-serif"/>
          <w:b w:val="false"/>
          <w:color w:val="000000"/>
          <w:sz w:val="16"/>
        </w:rPr>
        <w:t>The address, number and percentage of shares of our common stock beneficially owned by State Street Corporation (“State Street”) are based on the Schedule 13G/A filed by State Street with the SEC on January 29, 2024. According to the filing, State Street had shared voting power with respect to 11,857,594 shares, shared dispositive power with respect to 18,292,732 shares and did not have sole voting or dispositive power as to any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Delinquent Section 16(a) Reports</w:t>
      </w:r>
    </w:p>
    <w:p>
      <w:pPr>
        <w:pStyle w:val="TextBody"/>
        <w:bidi w:val="0"/>
        <w:spacing w:lineRule="auto" w:line="288" w:before="120" w:after="120"/>
        <w:jc w:val="left"/>
        <w:rPr>
          <w:rFonts w:ascii="Lato;sans-serif" w:hAnsi="Lato;sans-serif"/>
          <w:b w:val="false"/>
          <w:color w:val="000000"/>
          <w:sz w:val="19"/>
        </w:rPr>
      </w:pPr>
      <w:r>
        <w:rPr>
          <w:rFonts w:ascii="Lato;sans-serif" w:hAnsi="Lato;sans-serif"/>
          <w:b w:val="false"/>
          <w:color w:val="000000"/>
          <w:sz w:val="19"/>
        </w:rPr>
        <w:t>Section 16(a) of the Securities Exchange Act of 1934 requires our directors, executive officers, and persons who own more than 10% of our common stock to file reports of their ownership and changes in ownership of our common stock with the SEC. Our employees prepare these reports for our directors and executive officers using information obtained from them and from our records. Due to an administrative error, two Form 4 filings due on May 3, 2021 and April 28, 2022, respectively, relating to stock option awards to Andrew Drexler, were made on March 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Transactions with Related Persons</w:t>
      </w:r>
    </w:p>
    <w:p>
      <w:pPr>
        <w:pStyle w:val="TextBody"/>
        <w:bidi w:val="0"/>
        <w:spacing w:lineRule="auto" w:line="288" w:before="120" w:after="120"/>
        <w:jc w:val="left"/>
        <w:rPr/>
      </w:pPr>
      <w:r>
        <w:rPr>
          <w:rFonts w:ascii="Lato;sans-serif" w:hAnsi="Lato;sans-serif"/>
          <w:b w:val="false"/>
          <w:i/>
          <w:color w:val="000000"/>
          <w:sz w:val="19"/>
        </w:rPr>
        <w:t>Policies and Procedures for Review, Approval or Ratification of Related Person Transactions.</w:t>
      </w:r>
      <w:r>
        <w:rPr>
          <w:color w:val="000000"/>
        </w:rPr>
        <w:t xml:space="preserve"> </w:t>
      </w:r>
      <w:r>
        <w:rPr>
          <w:rFonts w:ascii="Lato;sans-serif" w:hAnsi="Lato;sans-serif"/>
          <w:b w:val="false"/>
          <w:color w:val="000000"/>
          <w:sz w:val="19"/>
        </w:rPr>
        <w:t>The Board has adopted procedures for reviewing any transactions between the company and certain “related persons” that involve amounts above certain thresholds. The SEC requires that our proxy statement disclose these “related person transactions.” A related person is defined under the SEC’s rules and includes our directors, director nominees, executive officers and five percent stockholders.</w:t>
      </w:r>
    </w:p>
    <w:p>
      <w:pPr>
        <w:pStyle w:val="TextBody"/>
        <w:bidi w:val="0"/>
        <w:spacing w:lineRule="auto" w:line="288" w:before="120" w:after="120"/>
        <w:jc w:val="left"/>
        <w:rPr>
          <w:rFonts w:ascii="Lato;sans-serif" w:hAnsi="Lato;sans-serif"/>
          <w:b w:val="false"/>
          <w:color w:val="000000"/>
          <w:sz w:val="19"/>
        </w:rPr>
      </w:pPr>
      <w:r>
        <w:rPr>
          <w:rFonts w:ascii="Lato;sans-serif" w:hAnsi="Lato;sans-serif"/>
          <w:b w:val="false"/>
          <w:color w:val="000000"/>
          <w:sz w:val="19"/>
        </w:rPr>
        <w:t>The Board’s procedures provide that:</w:t>
      </w:r>
    </w:p>
    <w:p>
      <w:pPr>
        <w:pStyle w:val="TextBody"/>
        <w:bidi w:val="0"/>
        <w:spacing w:lineRule="auto" w:line="288" w:before="80" w:after="80"/>
        <w:ind w:left="0" w:right="0" w:hanging="216"/>
        <w:jc w:val="left"/>
        <w:rPr/>
      </w:pPr>
      <w:r>
        <w:rPr>
          <w:color w:val="0046C8"/>
        </w:rPr>
        <w:t>•</w:t>
      </w:r>
      <w:r>
        <w:rPr>
          <w:rFonts w:ascii="Lato;sans-serif" w:hAnsi="Lato;sans-serif"/>
          <w:b w:val="false"/>
          <w:color w:val="000000"/>
          <w:sz w:val="19"/>
        </w:rPr>
        <w:t>The Nominating and Corporate Governance Committee is best suited to review, approve and ratify related person transactions involving any director, nominee for director, any five percent stockholder, or any of their immediate family members or related firms, and</w:t>
      </w:r>
    </w:p>
    <w:p>
      <w:pPr>
        <w:pStyle w:val="TextBody"/>
        <w:bidi w:val="0"/>
        <w:spacing w:lineRule="auto" w:line="288" w:before="80" w:after="80"/>
        <w:ind w:left="0" w:right="0" w:hanging="216"/>
        <w:jc w:val="left"/>
        <w:rPr/>
      </w:pPr>
      <w:r>
        <w:rPr>
          <w:color w:val="0046C8"/>
        </w:rPr>
        <w:t>•</w:t>
      </w:r>
      <w:r>
        <w:rPr>
          <w:rFonts w:ascii="Lato;sans-serif" w:hAnsi="Lato;sans-serif"/>
          <w:b w:val="false"/>
          <w:color w:val="000000"/>
          <w:sz w:val="19"/>
        </w:rPr>
        <w:t>The Audit Committee is best suited to review, approve and ratify related person transactions involving executive officers (or their immediate family members or related firms), other than any executive officer that is also a Board member.</w:t>
      </w:r>
    </w:p>
    <w:p>
      <w:pPr>
        <w:pStyle w:val="TextBody"/>
        <w:bidi w:val="0"/>
        <w:spacing w:lineRule="auto" w:line="288" w:before="80" w:after="80"/>
        <w:ind w:left="0" w:right="0" w:hanging="216"/>
        <w:jc w:val="left"/>
        <w:rPr/>
      </w:pPr>
      <w:r>
        <w:rPr>
          <w:color w:val="0046C8"/>
        </w:rPr>
        <w:t>•</w:t>
      </w:r>
      <w:r>
        <w:rPr>
          <w:rFonts w:ascii="Lato;sans-serif" w:hAnsi="Lato;sans-serif"/>
          <w:b w:val="false"/>
          <w:color w:val="000000"/>
          <w:sz w:val="19"/>
        </w:rPr>
        <w:t>Either Committee may, in its sole discretion, refer its consideration of related person transactions to the full Board.</w:t>
      </w:r>
    </w:p>
    <w:p>
      <w:pPr>
        <w:pStyle w:val="TextBody"/>
        <w:bidi w:val="0"/>
        <w:spacing w:lineRule="auto" w:line="288" w:before="120" w:after="120"/>
        <w:jc w:val="left"/>
        <w:rPr>
          <w:rFonts w:ascii="Lato;sans-serif" w:hAnsi="Lato;sans-serif"/>
          <w:b w:val="false"/>
          <w:color w:val="000000"/>
          <w:sz w:val="19"/>
        </w:rPr>
      </w:pPr>
      <w:r>
        <w:rPr>
          <w:rFonts w:ascii="Lato;sans-serif" w:hAnsi="Lato;sans-serif"/>
          <w:b w:val="false"/>
          <w:color w:val="000000"/>
          <w:sz w:val="19"/>
        </w:rPr>
        <w:t>Each director, director nominee and executive officer is required to promptly provide written notification of any material interest that he or she (or an immediate family member) has or will have in a transaction with Kimberly-Clark. Based on a review of the transaction, a determination will be made as to whether the transaction constitutes a related person transaction under the SEC’s rules. As appropriate, the Nominating and Corporate Governance Committee or the Audit Committee will then review the terms and substance of the transaction to determine whether to ratify or approve the related person transaction.</w:t>
      </w:r>
    </w:p>
    <w:p>
      <w:pPr>
        <w:pStyle w:val="TextBody"/>
        <w:bidi w:val="0"/>
        <w:spacing w:lineRule="auto" w:line="288" w:before="120" w:after="120"/>
        <w:jc w:val="left"/>
        <w:rPr>
          <w:rFonts w:ascii="Lato;sans-serif" w:hAnsi="Lato;sans-serif"/>
          <w:b w:val="false"/>
          <w:color w:val="000000"/>
          <w:sz w:val="19"/>
        </w:rPr>
      </w:pPr>
      <w:r>
        <w:rPr>
          <w:rFonts w:ascii="Lato;sans-serif" w:hAnsi="Lato;sans-serif"/>
          <w:b w:val="false"/>
          <w:color w:val="000000"/>
          <w:sz w:val="19"/>
        </w:rPr>
        <w:t>In determining whether the transaction is consistent with Kimberly-Clark’s best interest, the Nominating and Corporate Governance Committee or the Audit Committee may consider any factors deemed relevant or appropriate, including:</w:t>
      </w:r>
    </w:p>
    <w:p>
      <w:pPr>
        <w:pStyle w:val="TextBody"/>
        <w:bidi w:val="0"/>
        <w:spacing w:lineRule="auto" w:line="288" w:before="80" w:after="80"/>
        <w:ind w:left="0" w:right="0" w:hanging="216"/>
        <w:jc w:val="left"/>
        <w:rPr/>
      </w:pPr>
      <w:r>
        <w:rPr>
          <w:color w:val="0046C8"/>
        </w:rPr>
        <w:t>•</w:t>
      </w:r>
      <w:r>
        <w:rPr>
          <w:rFonts w:ascii="Lato;sans-serif" w:hAnsi="Lato;sans-serif"/>
          <w:b w:val="false"/>
          <w:color w:val="000000"/>
          <w:sz w:val="19"/>
        </w:rPr>
        <w:t>Whether the transaction is on terms comparable to those that could be obtained in arm’s-length dealings with an unrelated third party;</w:t>
      </w:r>
    </w:p>
    <w:p>
      <w:pPr>
        <w:pStyle w:val="TextBody"/>
        <w:bidi w:val="0"/>
        <w:spacing w:lineRule="auto" w:line="288" w:before="80" w:after="80"/>
        <w:ind w:left="0" w:right="0" w:hanging="216"/>
        <w:jc w:val="left"/>
        <w:rPr/>
      </w:pPr>
      <w:r>
        <w:rPr>
          <w:color w:val="0046C8"/>
        </w:rPr>
        <w:t>•</w:t>
      </w:r>
      <w:r>
        <w:rPr>
          <w:rFonts w:ascii="Lato;sans-serif" w:hAnsi="Lato;sans-serif"/>
          <w:b w:val="false"/>
          <w:color w:val="000000"/>
          <w:sz w:val="19"/>
        </w:rPr>
        <w:t>Whether the transaction constitutes a conflict of interest under our Code of Conduct, the nature, size or degree of any conflict, and whether mitigation of the conflict is feasible;</w:t>
      </w:r>
    </w:p>
    <w:p>
      <w:pPr>
        <w:pStyle w:val="TextBody"/>
        <w:bidi w:val="0"/>
        <w:spacing w:lineRule="auto" w:line="288" w:before="80" w:after="80"/>
        <w:ind w:left="0" w:right="0" w:hanging="216"/>
        <w:jc w:val="left"/>
        <w:rPr/>
      </w:pPr>
      <w:r>
        <w:rPr>
          <w:color w:val="0046C8"/>
        </w:rPr>
        <w:t>•</w:t>
      </w:r>
      <w:r>
        <w:rPr>
          <w:rFonts w:ascii="Lato;sans-serif" w:hAnsi="Lato;sans-serif"/>
          <w:b w:val="false"/>
          <w:color w:val="000000"/>
          <w:sz w:val="19"/>
        </w:rPr>
        <w:t>The impact of the transaction on a director’s independence; and</w:t>
      </w:r>
    </w:p>
    <w:p>
      <w:pPr>
        <w:pStyle w:val="TextBody"/>
        <w:bidi w:val="0"/>
        <w:spacing w:lineRule="auto" w:line="288" w:before="80" w:after="80"/>
        <w:ind w:left="0" w:right="0" w:hanging="216"/>
        <w:jc w:val="left"/>
        <w:rPr/>
      </w:pPr>
      <w:r>
        <w:rPr>
          <w:color w:val="0046C8"/>
        </w:rPr>
        <w:t>•</w:t>
      </w:r>
      <w:r>
        <w:rPr>
          <w:rFonts w:ascii="Lato;sans-serif" w:hAnsi="Lato;sans-serif"/>
          <w:b w:val="false"/>
          <w:color w:val="000000"/>
          <w:sz w:val="19"/>
        </w:rPr>
        <w:t>Whether steps have been taken to ensure fairness to Kimberly-Clark.</w:t>
      </w:r>
    </w:p>
    <w:p>
      <w:pPr>
        <w:pStyle w:val="TextBody"/>
        <w:bidi w:val="0"/>
        <w:spacing w:lineRule="auto" w:line="288" w:before="120" w:after="120"/>
        <w:jc w:val="left"/>
        <w:rPr/>
      </w:pPr>
      <w:r>
        <w:rPr>
          <w:rFonts w:ascii="Lato;sans-serif" w:hAnsi="Lato;sans-serif"/>
          <w:b w:val="false"/>
          <w:i/>
          <w:color w:val="000000"/>
          <w:sz w:val="19"/>
        </w:rPr>
        <w:t xml:space="preserve">Related Person Transactions. </w:t>
      </w:r>
      <w:r>
        <w:rPr>
          <w:rFonts w:ascii="Lato;sans-serif" w:hAnsi="Lato;sans-serif"/>
          <w:b w:val="false"/>
          <w:color w:val="000000"/>
          <w:sz w:val="19"/>
        </w:rPr>
        <w:t>Based on the company’s review of its transactions, there were no transactions considered to be a related person transaction since the beginning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629920"/>
                <wp:effectExtent l="0" t="0" r="0" b="0"/>
                <wp:wrapNone/>
                <wp:docPr id="342" name="Frame9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90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90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1990" w:type="dxa"/>
        <w:jc w:val="left"/>
        <w:tblInd w:w="0" w:type="dxa"/>
        <w:tblLayout w:type="fixed"/>
        <w:tblCellMar>
          <w:top w:w="28" w:type="dxa"/>
          <w:left w:w="28" w:type="dxa"/>
          <w:bottom w:w="28" w:type="dxa"/>
          <w:right w:w="28" w:type="dxa"/>
        </w:tblCellMar>
      </w:tblPr>
      <w:tblGrid>
        <w:gridCol w:w="188"/>
        <w:gridCol w:w="166"/>
        <w:gridCol w:w="167"/>
        <w:gridCol w:w="429"/>
        <w:gridCol w:w="429"/>
        <w:gridCol w:w="611"/>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43"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47" descr=""/>
                          <pic:cNvPicPr>
                            <a:picLocks noChangeAspect="1" noChangeArrowheads="1"/>
                          </pic:cNvPicPr>
                        </pic:nvPicPr>
                        <pic:blipFill>
                          <a:blip r:embed="rId248"/>
                          <a:stretch>
                            <a:fillRect/>
                          </a:stretch>
                        </pic:blipFill>
                        <pic:spPr bwMode="auto">
                          <a:xfrm>
                            <a:off x="0" y="0"/>
                            <a:ext cx="228600" cy="180975"/>
                          </a:xfrm>
                          <a:prstGeom prst="rect">
                            <a:avLst/>
                          </a:prstGeom>
                        </pic:spPr>
                      </pic:pic>
                    </a:graphicData>
                  </a:graphic>
                </wp:inline>
              </w:drawing>
            </w:r>
            <w:r>
              <w:rPr>
                <w:color w:val="000000"/>
              </w:rPr>
              <w:t> </w:t>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Other information</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Pay Versus Performance</w:t>
      </w:r>
    </w:p>
    <w:tbl>
      <w:tblPr>
        <w:tblW w:w="13236" w:type="dxa"/>
        <w:jc w:val="left"/>
        <w:tblInd w:w="0" w:type="dxa"/>
        <w:tblLayout w:type="fixed"/>
        <w:tblCellMar>
          <w:top w:w="28" w:type="dxa"/>
          <w:left w:w="28" w:type="dxa"/>
          <w:bottom w:w="28" w:type="dxa"/>
          <w:right w:w="28" w:type="dxa"/>
        </w:tblCellMar>
      </w:tblPr>
      <w:tblGrid>
        <w:gridCol w:w="223"/>
        <w:gridCol w:w="196"/>
        <w:gridCol w:w="197"/>
        <w:gridCol w:w="686"/>
        <w:gridCol w:w="560"/>
        <w:gridCol w:w="561"/>
        <w:gridCol w:w="623"/>
        <w:gridCol w:w="623"/>
        <w:gridCol w:w="561"/>
        <w:gridCol w:w="566"/>
        <w:gridCol w:w="560"/>
        <w:gridCol w:w="561"/>
        <w:gridCol w:w="563"/>
        <w:gridCol w:w="563"/>
        <w:gridCol w:w="561"/>
        <w:gridCol w:w="109"/>
        <w:gridCol w:w="109"/>
        <w:gridCol w:w="109"/>
        <w:gridCol w:w="413"/>
        <w:gridCol w:w="413"/>
        <w:gridCol w:w="327"/>
        <w:gridCol w:w="413"/>
        <w:gridCol w:w="413"/>
        <w:gridCol w:w="404"/>
        <w:gridCol w:w="109"/>
        <w:gridCol w:w="109"/>
        <w:gridCol w:w="109"/>
        <w:gridCol w:w="205"/>
        <w:gridCol w:w="205"/>
        <w:gridCol w:w="205"/>
        <w:gridCol w:w="353"/>
        <w:gridCol w:w="353"/>
        <w:gridCol w:w="206"/>
        <w:gridCol w:w="247"/>
        <w:gridCol w:w="234"/>
        <w:gridCol w:w="587"/>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 xml:space="preserve">Value of Initial Fixed </w:t>
              <w:br/>
              <w:t>$100 Investment</w:t>
              <w:br/>
              <w:t>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Year</w:t>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Summary</w:t>
              <w:br/>
              <w:t>Compensation</w:t>
              <w:br/>
              <w:t>Table Total for CEO</w:t>
              <w:br/>
              <w:t>($)</w:t>
            </w:r>
          </w:p>
        </w:tc>
        <w:tc>
          <w:tcPr>
            <w:tcW w:w="18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Compensation</w:t>
              <w:br/>
              <w:t>Actually Paid</w:t>
              <w:br/>
              <w:t>to CEO</w:t>
              <w:br/>
              <w:t>($)</w:t>
            </w:r>
          </w:p>
        </w:tc>
        <w:tc>
          <w:tcPr>
            <w:tcW w:w="16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 xml:space="preserve">Average </w:t>
              <w:br/>
              <w:t>Summary</w:t>
              <w:br/>
              <w:t>Compensation</w:t>
              <w:br/>
              <w:t>Table Total for</w:t>
              <w:br/>
              <w:t>Non-CEO</w:t>
              <w:br/>
              <w:t>NEOs</w:t>
              <w:br/>
              <w:t>($)</w:t>
            </w:r>
          </w:p>
        </w:tc>
        <w:tc>
          <w:tcPr>
            <w:tcW w:w="16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 xml:space="preserve">Average </w:t>
              <w:br/>
              <w:t>Compensation</w:t>
              <w:br/>
              <w:t>Actually Paid</w:t>
              <w:br/>
              <w:t>to Non-CEO</w:t>
              <w:br/>
              <w:t>NEOs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KMB TSR</w:t>
              <w:br/>
              <w:t>($)</w:t>
            </w:r>
          </w:p>
        </w:tc>
        <w:tc>
          <w:tcPr>
            <w:tcW w:w="1230"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S&amp;P 500</w:t>
              <w:br/>
              <w:t>Consumer</w:t>
              <w:br/>
              <w:t>Staples</w:t>
              <w:br/>
              <w:t>Index TSR</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Net</w:t>
              <w:br/>
              <w:t>Income</w:t>
              <w:br/>
              <w:t>($ Millions)</w:t>
            </w:r>
          </w:p>
        </w:tc>
        <w:tc>
          <w:tcPr>
            <w:tcW w:w="10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Annual</w:t>
              <w:br/>
              <w:t>Organic</w:t>
              <w:br/>
              <w:t> Sales</w:t>
              <w:br/>
              <w:t>Growth %</w:t>
            </w:r>
          </w:p>
        </w:tc>
      </w:tr>
      <w:tr>
        <w:trPr/>
        <w:tc>
          <w:tcPr>
            <w:tcW w:w="616"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(a)</w:t>
            </w:r>
          </w:p>
        </w:tc>
        <w:tc>
          <w:tcPr>
            <w:tcW w:w="1807"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8"/>
              </w:rPr>
            </w:pPr>
            <w:r>
              <w:rPr>
                <w:rFonts w:ascii="Lato Bold;sans-serif" w:hAnsi="Lato Bold;sans-serif"/>
                <w:b/>
                <w:color w:val="000000"/>
                <w:sz w:val="18"/>
              </w:rPr>
              <w:t>(b)</w:t>
            </w:r>
          </w:p>
        </w:tc>
        <w:tc>
          <w:tcPr>
            <w:tcW w:w="1807"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8"/>
              </w:rPr>
            </w:pPr>
            <w:r>
              <w:rPr>
                <w:rFonts w:ascii="Lato Bold;sans-serif" w:hAnsi="Lato Bold;sans-serif"/>
                <w:b/>
                <w:color w:val="000000"/>
                <w:sz w:val="18"/>
              </w:rPr>
              <w:t>(c)</w:t>
            </w:r>
          </w:p>
        </w:tc>
        <w:tc>
          <w:tcPr>
            <w:tcW w:w="1687"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8"/>
              </w:rPr>
            </w:pPr>
            <w:r>
              <w:rPr>
                <w:rFonts w:ascii="Lato Bold;sans-serif" w:hAnsi="Lato Bold;sans-serif"/>
                <w:b/>
                <w:color w:val="000000"/>
                <w:sz w:val="18"/>
              </w:rPr>
              <w:t>(d)</w:t>
            </w:r>
          </w:p>
        </w:tc>
        <w:tc>
          <w:tcPr>
            <w:tcW w:w="1687"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8"/>
              </w:rPr>
            </w:pPr>
            <w:r>
              <w:rPr>
                <w:rFonts w:ascii="Lato Bold;sans-serif" w:hAnsi="Lato Bold;sans-serif"/>
                <w:b/>
                <w:color w:val="000000"/>
                <w:sz w:val="18"/>
              </w:rPr>
              <w:t>(e)</w:t>
            </w:r>
          </w:p>
        </w:tc>
        <w:tc>
          <w:tcPr>
            <w:tcW w:w="327" w:type="dxa"/>
            <w:gridSpan w:val="3"/>
            <w:tcBorders>
              <w:top w:val="single" w:sz="8" w:space="0" w:color="00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8"/>
              </w:rPr>
            </w:pPr>
            <w:r>
              <w:rPr>
                <w:rFonts w:ascii="Lato Bold;sans-serif" w:hAnsi="Lato Bold;sans-serif"/>
                <w:b/>
                <w:color w:val="000000"/>
                <w:sz w:val="18"/>
              </w:rPr>
              <w:t>(f)</w:t>
            </w:r>
          </w:p>
        </w:tc>
        <w:tc>
          <w:tcPr>
            <w:tcW w:w="1230"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8"/>
              </w:rPr>
            </w:pPr>
            <w:r>
              <w:rPr>
                <w:rFonts w:ascii="Lato Bold;sans-serif" w:hAnsi="Lato Bold;sans-serif"/>
                <w:b/>
                <w:color w:val="000000"/>
                <w:sz w:val="18"/>
              </w:rPr>
              <w:t>(g)</w:t>
            </w:r>
          </w:p>
        </w:tc>
        <w:tc>
          <w:tcPr>
            <w:tcW w:w="327" w:type="dxa"/>
            <w:gridSpan w:val="3"/>
            <w:tcBorders>
              <w:top w:val="single" w:sz="8" w:space="0" w:color="00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46C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8"/>
              </w:rPr>
            </w:pPr>
            <w:r>
              <w:rPr>
                <w:rFonts w:ascii="Lato Bold;sans-serif" w:hAnsi="Lato Bold;sans-serif"/>
                <w:b/>
                <w:color w:val="000000"/>
                <w:sz w:val="18"/>
              </w:rPr>
              <w:t>(h)</w:t>
            </w:r>
          </w:p>
        </w:tc>
        <w:tc>
          <w:tcPr>
            <w:tcW w:w="1068" w:type="dxa"/>
            <w:gridSpan w:val="3"/>
            <w:tcBorders>
              <w:top w:val="single" w:sz="8" w:space="0" w:color="0046C8"/>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8"/>
              </w:rPr>
            </w:pPr>
            <w:r>
              <w:rPr>
                <w:rFonts w:ascii="Lato Bold;sans-serif" w:hAnsi="Lato Bold;sans-serif"/>
                <w:b/>
                <w:color w:val="000000"/>
                <w:sz w:val="18"/>
              </w:rPr>
              <w:t>(i)</w:t>
            </w:r>
          </w:p>
        </w:tc>
      </w:tr>
      <w:tr>
        <w:trPr/>
        <w:tc>
          <w:tcPr>
            <w:tcW w:w="616"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2024</w:t>
            </w:r>
          </w:p>
        </w:tc>
        <w:tc>
          <w:tcPr>
            <w:tcW w:w="124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16,413,045 </w:t>
            </w:r>
          </w:p>
        </w:tc>
        <w:tc>
          <w:tcPr>
            <w:tcW w:w="56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23,830,638 </w:t>
            </w:r>
          </w:p>
        </w:tc>
        <w:tc>
          <w:tcPr>
            <w:tcW w:w="56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5,755,256 </w:t>
            </w:r>
          </w:p>
        </w:tc>
        <w:tc>
          <w:tcPr>
            <w:tcW w:w="56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7,444,749 </w:t>
            </w:r>
          </w:p>
        </w:tc>
        <w:tc>
          <w:tcPr>
            <w:tcW w:w="56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113.18 </w:t>
            </w:r>
          </w:p>
        </w:tc>
        <w:tc>
          <w:tcPr>
            <w:tcW w:w="327"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150.76 </w:t>
            </w:r>
          </w:p>
        </w:tc>
        <w:tc>
          <w:tcPr>
            <w:tcW w:w="404"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2,545 </w:t>
            </w:r>
          </w:p>
        </w:tc>
        <w:tc>
          <w:tcPr>
            <w:tcW w:w="206"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3.2 </w:t>
            </w:r>
          </w:p>
        </w:tc>
        <w:tc>
          <w:tcPr>
            <w:tcW w:w="587" w:type="dxa"/>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2023</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16,528,052 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20,793,207 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5,103,079 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5,909,333 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101.25 </w:t>
            </w:r>
          </w:p>
        </w:tc>
        <w:tc>
          <w:tcPr>
            <w:tcW w:w="32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131.24 </w:t>
            </w:r>
          </w:p>
        </w:tc>
        <w:tc>
          <w:tcPr>
            <w:tcW w:w="40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1,764 </w:t>
            </w:r>
          </w:p>
        </w:tc>
        <w:tc>
          <w:tcPr>
            <w:tcW w:w="2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4.7 </w:t>
            </w:r>
          </w:p>
        </w:tc>
        <w:tc>
          <w:tcPr>
            <w:tcW w:w="587"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2022</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14,555,561 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23,441,071 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5,504,660 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7,301,881 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108.96 </w:t>
            </w:r>
          </w:p>
        </w:tc>
        <w:tc>
          <w:tcPr>
            <w:tcW w:w="32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130.57 </w:t>
            </w:r>
          </w:p>
        </w:tc>
        <w:tc>
          <w:tcPr>
            <w:tcW w:w="40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1,934 </w:t>
            </w:r>
          </w:p>
        </w:tc>
        <w:tc>
          <w:tcPr>
            <w:tcW w:w="2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7.2 </w:t>
            </w:r>
          </w:p>
        </w:tc>
        <w:tc>
          <w:tcPr>
            <w:tcW w:w="587"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616"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2021</w:t>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12,009,162 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3,318,480 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4,589,273 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2,631,289 </w:t>
            </w:r>
          </w:p>
        </w:tc>
        <w:tc>
          <w:tcPr>
            <w:tcW w:w="5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110.71 </w:t>
            </w:r>
          </w:p>
        </w:tc>
        <w:tc>
          <w:tcPr>
            <w:tcW w:w="32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131.38 </w:t>
            </w:r>
          </w:p>
        </w:tc>
        <w:tc>
          <w:tcPr>
            <w:tcW w:w="40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1,814 </w:t>
            </w:r>
          </w:p>
        </w:tc>
        <w:tc>
          <w:tcPr>
            <w:tcW w:w="206"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(1.0)</w:t>
            </w:r>
          </w:p>
        </w:tc>
        <w:tc>
          <w:tcPr>
            <w:tcW w:w="587" w:type="dxa"/>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616"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2020</w:t>
            </w:r>
          </w:p>
        </w:tc>
        <w:tc>
          <w:tcPr>
            <w:tcW w:w="124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13,465,320 </w:t>
            </w:r>
          </w:p>
        </w:tc>
        <w:tc>
          <w:tcPr>
            <w:tcW w:w="56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21,472,501 </w:t>
            </w:r>
          </w:p>
        </w:tc>
        <w:tc>
          <w:tcPr>
            <w:tcW w:w="56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5,323,497 </w:t>
            </w:r>
          </w:p>
        </w:tc>
        <w:tc>
          <w:tcPr>
            <w:tcW w:w="56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7,005,404 </w:t>
            </w:r>
          </w:p>
        </w:tc>
        <w:tc>
          <w:tcPr>
            <w:tcW w:w="56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100.95 </w:t>
            </w:r>
          </w:p>
        </w:tc>
        <w:tc>
          <w:tcPr>
            <w:tcW w:w="327"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110.75 </w:t>
            </w:r>
          </w:p>
        </w:tc>
        <w:tc>
          <w:tcPr>
            <w:tcW w:w="404"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2,352 </w:t>
            </w:r>
          </w:p>
        </w:tc>
        <w:tc>
          <w:tcPr>
            <w:tcW w:w="206"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5.8 </w:t>
            </w:r>
          </w:p>
        </w:tc>
        <w:tc>
          <w:tcPr>
            <w:tcW w:w="587"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right"/>
              <w:rPr>
                <w:rFonts w:ascii="Lato;sans-serif" w:hAnsi="Lato;sans-serif"/>
                <w:b w:val="false"/>
                <w:color w:val="000000"/>
                <w:sz w:val="18"/>
              </w:rPr>
            </w:pPr>
            <w:r>
              <w:rPr>
                <w:rFonts w:ascii="Lato;sans-serif" w:hAnsi="Lato;sans-serif"/>
                <w:b w:val="false"/>
                <w:color w:val="000000"/>
                <w:sz w:val="18"/>
              </w:rPr>
              <w:t>%</w:t>
            </w:r>
          </w:p>
        </w:tc>
      </w:tr>
    </w:tbl>
    <w:p>
      <w:pPr>
        <w:pStyle w:val="TextBody"/>
        <w:bidi w:val="0"/>
        <w:spacing w:lineRule="auto" w:line="312" w:before="120" w:after="120"/>
        <w:jc w:val="left"/>
        <w:rPr/>
      </w:pPr>
      <w:r>
        <w:rPr>
          <w:rFonts w:ascii="Lato;sans-serif" w:hAnsi="Lato;sans-serif"/>
          <w:b w:val="false"/>
          <w:i/>
          <w:color w:val="000000"/>
          <w:sz w:val="19"/>
        </w:rPr>
        <w:t>Column (b).</w:t>
      </w:r>
      <w:r>
        <w:rPr>
          <w:color w:val="000000"/>
        </w:rPr>
        <w:t xml:space="preserve"> </w:t>
      </w:r>
      <w:r>
        <w:rPr>
          <w:rFonts w:ascii="Lato;sans-serif" w:hAnsi="Lato;sans-serif"/>
          <w:b w:val="false"/>
          <w:color w:val="000000"/>
          <w:sz w:val="19"/>
        </w:rPr>
        <w:t>Reflects compensation amounts reported in the “Summary Compensation Table” for our CEO, Mike Hsu, for the respective years shown.</w:t>
      </w:r>
    </w:p>
    <w:p>
      <w:pPr>
        <w:pStyle w:val="TextBody"/>
        <w:bidi w:val="0"/>
        <w:spacing w:lineRule="auto" w:line="312" w:before="120" w:after="120"/>
        <w:jc w:val="left"/>
        <w:rPr/>
      </w:pPr>
      <w:r>
        <w:rPr>
          <w:rFonts w:ascii="Lato;sans-serif" w:hAnsi="Lato;sans-serif"/>
          <w:b w:val="false"/>
          <w:i/>
          <w:color w:val="000000"/>
          <w:sz w:val="19"/>
        </w:rPr>
        <w:t xml:space="preserve">Column (c). </w:t>
      </w:r>
      <w:r>
        <w:rPr>
          <w:color w:val="000000"/>
        </w:rPr>
        <w:t>“</w:t>
      </w:r>
      <w:r>
        <w:rPr>
          <w:rFonts w:ascii="Lato;sans-serif" w:hAnsi="Lato;sans-serif"/>
          <w:b w:val="false"/>
          <w:color w:val="000000"/>
          <w:sz w:val="19"/>
        </w:rPr>
        <w:t>Compensation actually paid” to our CEO in 2024 reflects the respective amounts set forth in column (b) of the table above, adjusted as set forth in the table below, as determined in accordance with SEC rules. For awards with dividend rights, these amounts are paid in company shares once the underlying award vests, and are incorporated as applicable in the table below. The dollar amounts reflected in column (b) of the table above do not reflect the actual amount of compensation earned by or paid to our CEO during 2024. For information regarding the decisions made by our Management Development and Compensation Committee in regards to the CEO’s compensation for 2024, please see “Compensation Discussion &amp; Analysis” above.</w:t>
      </w:r>
    </w:p>
    <w:tbl>
      <w:tblPr>
        <w:tblW w:w="10205" w:type="dxa"/>
        <w:jc w:val="left"/>
        <w:tblInd w:w="0" w:type="dxa"/>
        <w:tblLayout w:type="fixed"/>
        <w:tblCellMar>
          <w:top w:w="28" w:type="dxa"/>
          <w:left w:w="28" w:type="dxa"/>
          <w:bottom w:w="28" w:type="dxa"/>
          <w:right w:w="28" w:type="dxa"/>
        </w:tblCellMar>
      </w:tblPr>
      <w:tblGrid>
        <w:gridCol w:w="3083"/>
        <w:gridCol w:w="2708"/>
        <w:gridCol w:w="2736"/>
        <w:gridCol w:w="663"/>
        <w:gridCol w:w="664"/>
        <w:gridCol w:w="351"/>
      </w:tblGrid>
      <w:tr>
        <w:trPr/>
        <w:tc>
          <w:tcPr>
            <w:tcW w:w="3083"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8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Year</w:t>
            </w:r>
          </w:p>
        </w:tc>
        <w:tc>
          <w:tcPr>
            <w:tcW w:w="16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2024</w:t>
            </w:r>
          </w:p>
        </w:tc>
      </w:tr>
      <w:tr>
        <w:trPr/>
        <w:tc>
          <w:tcPr>
            <w:tcW w:w="8527"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CEO</w:t>
            </w:r>
          </w:p>
        </w:tc>
        <w:tc>
          <w:tcPr>
            <w:tcW w:w="1678"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46C8"/>
                <w:sz w:val="18"/>
              </w:rPr>
            </w:pPr>
            <w:r>
              <w:rPr>
                <w:rFonts w:ascii="Lato Bold;sans-serif" w:hAnsi="Lato Bold;sans-serif"/>
                <w:b/>
                <w:color w:val="0046C8"/>
                <w:sz w:val="18"/>
              </w:rPr>
              <w:t>M. Hsu</w:t>
            </w:r>
          </w:p>
        </w:tc>
      </w:tr>
      <w:tr>
        <w:trPr/>
        <w:tc>
          <w:tcPr>
            <w:tcW w:w="8527"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SCT Total Compensation ($)</w:t>
            </w:r>
          </w:p>
        </w:tc>
        <w:tc>
          <w:tcPr>
            <w:tcW w:w="1327"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16,413,045 </w:t>
            </w:r>
          </w:p>
        </w:tc>
        <w:tc>
          <w:tcPr>
            <w:tcW w:w="35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Less: Stock and Option Award Values Reported in SCT for the Covered Year ($)</w:t>
            </w:r>
          </w:p>
        </w:tc>
        <w:tc>
          <w:tcPr>
            <w:tcW w:w="1327"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(11,000,028)</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Plus: Fair Value for Stock and Option Awards Granted in the Covered Year ($)</w:t>
            </w:r>
          </w:p>
        </w:tc>
        <w:tc>
          <w:tcPr>
            <w:tcW w:w="1327"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10,562,348 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Change in Fair Value of Outstanding Unvested Stock and Option Awards from Prior Years ($)</w:t>
            </w:r>
          </w:p>
        </w:tc>
        <w:tc>
          <w:tcPr>
            <w:tcW w:w="1327"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4,513,307 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Change in Fair Value of Stock and Option Awards from Prior Years that Vested in the Covered Year ($)</w:t>
            </w:r>
          </w:p>
        </w:tc>
        <w:tc>
          <w:tcPr>
            <w:tcW w:w="1327"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3,341,966 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Less: Fair Value of Stock and Option Awards Forfeited during the Covered Year ($)</w:t>
            </w:r>
          </w:p>
        </w:tc>
        <w:tc>
          <w:tcPr>
            <w:tcW w:w="1327"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Less: Aggregate Change in Actuarial Present Value of Accumulated Benefit Under Pension Plans ($)</w:t>
            </w:r>
          </w:p>
        </w:tc>
        <w:tc>
          <w:tcPr>
            <w:tcW w:w="1327"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7"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Plus: Aggregate Service Cost and Prior Service Cost for Pension Plans ($)</w:t>
            </w:r>
          </w:p>
        </w:tc>
        <w:tc>
          <w:tcPr>
            <w:tcW w:w="1327"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7"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Compensation Actually Paid ($)</w:t>
            </w:r>
          </w:p>
        </w:tc>
        <w:tc>
          <w:tcPr>
            <w:tcW w:w="1327"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23,830,638 </w:t>
            </w:r>
          </w:p>
        </w:tc>
        <w:tc>
          <w:tcPr>
            <w:tcW w:w="35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Performance-based restricted share unit grant date fair values are calculated using the stock price as of date of grant assuming target performance. Adjustments have been made using the stock price and performance accrual modifier as of year end and as of the date of vest. Time-vested restricted share unit grant date fair values are calculated using the stock price as of date of grant. Adjustments have been made using the stock price as of year end and as of each date of vest.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629920"/>
                <wp:effectExtent l="0" t="0" r="0" b="0"/>
                <wp:wrapNone/>
                <wp:docPr id="344" name="Frame9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91</w:t>
                            </w:r>
                          </w:p>
                        </w:tc>
                      </w:tr>
                    </w:tbl>
                    <w:p>
                      <w:pPr>
                        <w:pStyle w:val="TextBody"/>
                        <w:bidi w:val="0"/>
                        <w:spacing w:before="0" w:after="283"/>
                        <w:jc w:val="left"/>
                        <w:rPr/>
                      </w:pPr>
                      <w:r>
                        <w:rPr/>
                      </w:r>
                    </w:p>
                  </w:txbxContent>
                </v:textbox>
                <w10:wrap type="none"/>
              </v:rect>
            </w:pict>
          </mc:Fallback>
        </mc:AlternateContent>
      </w:r>
    </w:p>
    <w:tbl>
      <w:tblPr>
        <w:tblW w:w="1991" w:type="dxa"/>
        <w:jc w:val="left"/>
        <w:tblInd w:w="0" w:type="dxa"/>
        <w:tblLayout w:type="fixed"/>
        <w:tblCellMar>
          <w:top w:w="28" w:type="dxa"/>
          <w:left w:w="28" w:type="dxa"/>
          <w:bottom w:w="28" w:type="dxa"/>
          <w:right w:w="28" w:type="dxa"/>
        </w:tblCellMar>
      </w:tblPr>
      <w:tblGrid>
        <w:gridCol w:w="521"/>
        <w:gridCol w:w="459"/>
        <w:gridCol w:w="460"/>
        <w:gridCol w:w="161"/>
        <w:gridCol w:w="161"/>
        <w:gridCol w:w="229"/>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Other information</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45"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48" descr=""/>
                          <pic:cNvPicPr>
                            <a:picLocks noChangeAspect="1" noChangeArrowheads="1"/>
                          </pic:cNvPicPr>
                        </pic:nvPicPr>
                        <pic:blipFill>
                          <a:blip r:embed="rId249"/>
                          <a:stretch>
                            <a:fillRect/>
                          </a:stretch>
                        </pic:blipFill>
                        <pic:spPr bwMode="auto">
                          <a:xfrm>
                            <a:off x="0" y="0"/>
                            <a:ext cx="228600" cy="180975"/>
                          </a:xfrm>
                          <a:prstGeom prst="rect">
                            <a:avLst/>
                          </a:prstGeom>
                        </pic:spPr>
                      </pic:pic>
                    </a:graphicData>
                  </a:graphic>
                </wp:inline>
              </w:drawing>
            </w:r>
            <w:r>
              <w:rPr>
                <w:color w:val="000000"/>
              </w:rPr>
              <w:t> </w:t>
            </w:r>
          </w:p>
        </w:tc>
      </w:tr>
      <w:tr>
        <w:trPr/>
        <w:tc>
          <w:tcPr>
            <w:tcW w:w="144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pPr>
      <w:r>
        <w:rPr>
          <w:rFonts w:ascii="Lato;sans-serif" w:hAnsi="Lato;sans-serif"/>
          <w:b w:val="false"/>
          <w:i/>
          <w:color w:val="000000"/>
          <w:sz w:val="19"/>
        </w:rPr>
        <w:t>Column (d).</w:t>
      </w:r>
      <w:r>
        <w:rPr>
          <w:color w:val="000000"/>
        </w:rPr>
        <w:t xml:space="preserve"> </w:t>
      </w:r>
      <w:r>
        <w:rPr>
          <w:rFonts w:ascii="Lato;sans-serif" w:hAnsi="Lato;sans-serif"/>
          <w:b w:val="false"/>
          <w:color w:val="000000"/>
          <w:sz w:val="19"/>
        </w:rPr>
        <w:t>The following non-CEO named executive officers are included in the average figures shown:</w:t>
      </w:r>
    </w:p>
    <w:tbl>
      <w:tblPr>
        <w:tblW w:w="8698" w:type="dxa"/>
        <w:jc w:val="left"/>
        <w:tblInd w:w="0" w:type="dxa"/>
        <w:tblLayout w:type="fixed"/>
        <w:tblCellMar>
          <w:top w:w="28" w:type="dxa"/>
          <w:left w:w="28" w:type="dxa"/>
          <w:bottom w:w="28" w:type="dxa"/>
          <w:right w:w="28" w:type="dxa"/>
        </w:tblCellMar>
      </w:tblPr>
      <w:tblGrid>
        <w:gridCol w:w="259"/>
        <w:gridCol w:w="229"/>
        <w:gridCol w:w="231"/>
        <w:gridCol w:w="2337"/>
        <w:gridCol w:w="2337"/>
        <w:gridCol w:w="3305"/>
      </w:tblGrid>
      <w:tr>
        <w:trPr/>
        <w:tc>
          <w:tcPr>
            <w:tcW w:w="2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2020:</w:t>
            </w:r>
          </w:p>
        </w:tc>
        <w:tc>
          <w:tcPr>
            <w:tcW w:w="797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Maria Henry, Russell Torres, Kimberly Underhill, Sandi Karrmann, Achal Agarwal</w:t>
            </w:r>
          </w:p>
        </w:tc>
      </w:tr>
      <w:tr>
        <w:trPr/>
        <w:tc>
          <w:tcPr>
            <w:tcW w:w="71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 xml:space="preserve">2021: </w:t>
            </w:r>
          </w:p>
        </w:tc>
        <w:tc>
          <w:tcPr>
            <w:tcW w:w="797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Maria Henry, Russell Torres, Kimberly Underhill, Jeffrey Melucci, Gonzalo Uribe</w:t>
            </w:r>
          </w:p>
        </w:tc>
      </w:tr>
      <w:tr>
        <w:trPr/>
        <w:tc>
          <w:tcPr>
            <w:tcW w:w="71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2022:</w:t>
            </w:r>
          </w:p>
        </w:tc>
        <w:tc>
          <w:tcPr>
            <w:tcW w:w="797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Maria Henry, Russell Torres, Jeffrey Melucci, Zack Hicks, Nelson Urdaneta</w:t>
            </w:r>
          </w:p>
        </w:tc>
      </w:tr>
      <w:tr>
        <w:trPr/>
        <w:tc>
          <w:tcPr>
            <w:tcW w:w="71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 xml:space="preserve">2023: </w:t>
            </w:r>
          </w:p>
        </w:tc>
        <w:tc>
          <w:tcPr>
            <w:tcW w:w="797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Russell Torres, Jeffrey Melucci, Zack Hicks, Nelson Urdaneta</w:t>
            </w:r>
          </w:p>
        </w:tc>
      </w:tr>
      <w:tr>
        <w:trPr/>
        <w:tc>
          <w:tcPr>
            <w:tcW w:w="71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2024:</w:t>
            </w:r>
          </w:p>
        </w:tc>
        <w:tc>
          <w:tcPr>
            <w:tcW w:w="797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Russell Torres, Jeffrey Melucci, Zack Hicks, Nelson Urdaneta</w:t>
            </w:r>
          </w:p>
        </w:tc>
      </w:tr>
    </w:tbl>
    <w:p>
      <w:pPr>
        <w:pStyle w:val="TextBody"/>
        <w:bidi w:val="0"/>
        <w:spacing w:lineRule="auto" w:line="312" w:before="120" w:after="120"/>
        <w:jc w:val="left"/>
        <w:rPr/>
      </w:pPr>
      <w:r>
        <w:rPr>
          <w:rFonts w:ascii="Lato;sans-serif" w:hAnsi="Lato;sans-serif"/>
          <w:b w:val="false"/>
          <w:i/>
          <w:color w:val="000000"/>
          <w:sz w:val="19"/>
        </w:rPr>
        <w:t>Column (e).</w:t>
      </w:r>
      <w:r>
        <w:rPr>
          <w:color w:val="000000"/>
        </w:rPr>
        <w:t xml:space="preserve"> </w:t>
      </w:r>
      <w:r>
        <w:rPr>
          <w:rFonts w:ascii="Lato;sans-serif" w:hAnsi="Lato;sans-serif"/>
          <w:b w:val="false"/>
          <w:color w:val="000000"/>
          <w:sz w:val="19"/>
        </w:rPr>
        <w:t>Average “compensation actually paid” for our non-CEO NEOs in 2024 reflects the respective amounts set forth in column (d) of the table above, adjusted as set forth in the table below, as determined in accordance with SEC rules. For awards with dividend rights, these amounts are paid in company shares once the underlying award vests, and are incorporated as applicable in the table below. The dollar amounts reflected in column (d) of the table above do not reflect the actual amount of compensation earned by or paid to our non-CEO NEOs during 2024. For information regarding the decisions made by our Management Development and Compensation Committee in regards to the non-CEO NEOs' compensation for 2024, please see “Compensation Discussion and Analysis” above.</w:t>
      </w:r>
    </w:p>
    <w:tbl>
      <w:tblPr>
        <w:tblW w:w="10205" w:type="dxa"/>
        <w:jc w:val="left"/>
        <w:tblInd w:w="0" w:type="dxa"/>
        <w:tblLayout w:type="fixed"/>
        <w:tblCellMar>
          <w:top w:w="28" w:type="dxa"/>
          <w:left w:w="28" w:type="dxa"/>
          <w:bottom w:w="28" w:type="dxa"/>
          <w:right w:w="28" w:type="dxa"/>
        </w:tblCellMar>
      </w:tblPr>
      <w:tblGrid>
        <w:gridCol w:w="2988"/>
        <w:gridCol w:w="2611"/>
        <w:gridCol w:w="2613"/>
        <w:gridCol w:w="605"/>
        <w:gridCol w:w="599"/>
        <w:gridCol w:w="789"/>
      </w:tblGrid>
      <w:tr>
        <w:trPr/>
        <w:tc>
          <w:tcPr>
            <w:tcW w:w="2988"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82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Year</w:t>
            </w:r>
          </w:p>
        </w:tc>
        <w:tc>
          <w:tcPr>
            <w:tcW w:w="199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2024 Average</w:t>
            </w:r>
          </w:p>
        </w:tc>
      </w:tr>
      <w:tr>
        <w:trPr/>
        <w:tc>
          <w:tcPr>
            <w:tcW w:w="8212"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Non-CEO NEOs ($)</w:t>
            </w:r>
          </w:p>
        </w:tc>
        <w:tc>
          <w:tcPr>
            <w:tcW w:w="1993"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See Column (d) note</w:t>
            </w:r>
          </w:p>
        </w:tc>
      </w:tr>
      <w:tr>
        <w:trPr/>
        <w:tc>
          <w:tcPr>
            <w:tcW w:w="8212" w:type="dxa"/>
            <w:gridSpan w:val="3"/>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SCT Total Compensation ($)</w:t>
            </w:r>
          </w:p>
        </w:tc>
        <w:tc>
          <w:tcPr>
            <w:tcW w:w="1204" w:type="dxa"/>
            <w:gridSpan w:val="2"/>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5,755,256 </w:t>
            </w:r>
          </w:p>
        </w:tc>
        <w:tc>
          <w:tcPr>
            <w:tcW w:w="789" w:type="dxa"/>
            <w:tcBorders>
              <w:top w:val="single" w:sz="6"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Less: Stock and Option Award Values Reported in SCT for the Covered Year ($)</w:t>
            </w:r>
          </w:p>
        </w:tc>
        <w:tc>
          <w:tcPr>
            <w:tcW w:w="1204" w:type="dxa"/>
            <w:gridSpan w:val="2"/>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(3,487,527)</w:t>
            </w:r>
          </w:p>
        </w:tc>
        <w:tc>
          <w:tcPr>
            <w:tcW w:w="789" w:type="dxa"/>
            <w:tcBorders>
              <w:top w:val="single" w:sz="6"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Plus: Fair Value for Stock and Option Awards Granted in the Covered Year ($)</w:t>
            </w:r>
          </w:p>
        </w:tc>
        <w:tc>
          <w:tcPr>
            <w:tcW w:w="1204" w:type="dxa"/>
            <w:gridSpan w:val="2"/>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3,379,522 </w:t>
            </w:r>
          </w:p>
        </w:tc>
        <w:tc>
          <w:tcPr>
            <w:tcW w:w="789" w:type="dxa"/>
            <w:tcBorders>
              <w:top w:val="single" w:sz="6"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Change in Fair Value of Outstanding Unvested Stock and Option Awards from Prior Years ($)</w:t>
            </w:r>
          </w:p>
        </w:tc>
        <w:tc>
          <w:tcPr>
            <w:tcW w:w="1204" w:type="dxa"/>
            <w:gridSpan w:val="2"/>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1,184,119 </w:t>
            </w:r>
          </w:p>
        </w:tc>
        <w:tc>
          <w:tcPr>
            <w:tcW w:w="789" w:type="dxa"/>
            <w:tcBorders>
              <w:top w:val="single" w:sz="6"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Change in Fair Value of Stock and Option Awards from Prior Years that Vested in the Covered Year ($)</w:t>
            </w:r>
          </w:p>
        </w:tc>
        <w:tc>
          <w:tcPr>
            <w:tcW w:w="1204" w:type="dxa"/>
            <w:gridSpan w:val="2"/>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613,379 </w:t>
            </w:r>
          </w:p>
        </w:tc>
        <w:tc>
          <w:tcPr>
            <w:tcW w:w="789" w:type="dxa"/>
            <w:tcBorders>
              <w:top w:val="single" w:sz="6"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Less: Fair Value of Stock and Option Awards Forfeited during the Covered Year ($)</w:t>
            </w:r>
          </w:p>
        </w:tc>
        <w:tc>
          <w:tcPr>
            <w:tcW w:w="1204" w:type="dxa"/>
            <w:gridSpan w:val="2"/>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9" w:type="dxa"/>
            <w:tcBorders>
              <w:top w:val="single" w:sz="6"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Less: Aggregate Change in Actuarial Present Value of Accumulated Benefit Under Pension Plans ($)</w:t>
            </w:r>
          </w:p>
        </w:tc>
        <w:tc>
          <w:tcPr>
            <w:tcW w:w="1204" w:type="dxa"/>
            <w:gridSpan w:val="2"/>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9" w:type="dxa"/>
            <w:tcBorders>
              <w:top w:val="single" w:sz="6"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Plus: Aggregate Service Cost and Prior Service Cost for Pension Plans ($)</w:t>
            </w:r>
          </w:p>
        </w:tc>
        <w:tc>
          <w:tcPr>
            <w:tcW w:w="1204" w:type="dxa"/>
            <w:gridSpan w:val="2"/>
            <w:tcBorders>
              <w:top w:val="single" w:sz="6"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9" w:type="dxa"/>
            <w:tcBorders>
              <w:top w:val="single" w:sz="6"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6"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Compensation Actually Paid ($)</w:t>
            </w:r>
          </w:p>
        </w:tc>
        <w:tc>
          <w:tcPr>
            <w:tcW w:w="1204" w:type="dxa"/>
            <w:gridSpan w:val="2"/>
            <w:tcBorders>
              <w:top w:val="single" w:sz="6"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7,444,749 </w:t>
            </w:r>
          </w:p>
        </w:tc>
        <w:tc>
          <w:tcPr>
            <w:tcW w:w="789" w:type="dxa"/>
            <w:tcBorders>
              <w:top w:val="single" w:sz="6"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Performance-based restricted share unit grant date fair values are calculated using the stock price as of date of grant assuming target performance. Adjustments have been made using the stock price and performance accrual modifier as of year end and as of the date of vest. Time-based restricted share unit grant date fair values are calculated using the stock price as of date of grant. Adjustments have been made using the stock price as of year end and as of each date of vest. The aggregate change in actuarial present value of accumulated benefit under pension plans reflects the amount reported for the applicable year in the Summary Compensation Table. </w:t>
      </w:r>
    </w:p>
    <w:p>
      <w:pPr>
        <w:pStyle w:val="TextBody"/>
        <w:bidi w:val="0"/>
        <w:spacing w:lineRule="auto" w:line="312" w:before="120" w:after="120"/>
        <w:jc w:val="left"/>
        <w:rPr/>
      </w:pPr>
      <w:r>
        <w:rPr>
          <w:rFonts w:ascii="Lato;sans-serif" w:hAnsi="Lato;sans-serif"/>
          <w:b w:val="false"/>
          <w:i/>
          <w:color w:val="000000"/>
          <w:sz w:val="19"/>
        </w:rPr>
        <w:t>Column (f).</w:t>
      </w:r>
      <w:r>
        <w:rPr>
          <w:color w:val="000000"/>
        </w:rPr>
        <w:t xml:space="preserve"> </w:t>
      </w:r>
      <w:r>
        <w:rPr>
          <w:rFonts w:ascii="Lato;sans-serif" w:hAnsi="Lato;sans-serif"/>
          <w:b w:val="false"/>
          <w:color w:val="000000"/>
          <w:sz w:val="19"/>
        </w:rPr>
        <w:t>For the relevant fiscal year, represents the cumulative total shareholder return (TSR) of Kimberly-Clark for the measurement periods ending on December 31 of each of 2024, 2023, 2022, 2021 and 2020, respectively.</w:t>
      </w:r>
    </w:p>
    <w:p>
      <w:pPr>
        <w:pStyle w:val="TextBody"/>
        <w:bidi w:val="0"/>
        <w:spacing w:lineRule="auto" w:line="312" w:before="120" w:after="120"/>
        <w:jc w:val="left"/>
        <w:rPr/>
      </w:pPr>
      <w:r>
        <w:rPr>
          <w:rFonts w:ascii="Lato;sans-serif" w:hAnsi="Lato;sans-serif"/>
          <w:b w:val="false"/>
          <w:i/>
          <w:color w:val="000000"/>
          <w:sz w:val="19"/>
        </w:rPr>
        <w:t xml:space="preserve">Column (g). </w:t>
      </w:r>
      <w:r>
        <w:rPr>
          <w:rFonts w:ascii="Lato;sans-serif" w:hAnsi="Lato;sans-serif"/>
          <w:b w:val="false"/>
          <w:color w:val="000000"/>
          <w:sz w:val="19"/>
        </w:rPr>
        <w:t>For the relevant fiscal year, represents the cumulative TSR of the S&amp;P 500 Consumer Staples Index ("Peer Group TSR") for the measurement periods ending on December 31 of each of 2024, 2023, 2022, 2021 and 2020, respectively.</w:t>
      </w:r>
    </w:p>
    <w:p>
      <w:pPr>
        <w:pStyle w:val="TextBody"/>
        <w:bidi w:val="0"/>
        <w:spacing w:lineRule="auto" w:line="312" w:before="120" w:after="120"/>
        <w:jc w:val="left"/>
        <w:rPr/>
      </w:pPr>
      <w:r>
        <w:rPr>
          <w:rFonts w:ascii="Lato;sans-serif" w:hAnsi="Lato;sans-serif"/>
          <w:b w:val="false"/>
          <w:i/>
          <w:color w:val="000000"/>
          <w:sz w:val="19"/>
        </w:rPr>
        <w:t>Column (h).</w:t>
      </w:r>
      <w:r>
        <w:rPr>
          <w:color w:val="000000"/>
        </w:rPr>
        <w:t xml:space="preserve"> </w:t>
      </w:r>
      <w:r>
        <w:rPr>
          <w:rFonts w:ascii="Lato;sans-serif" w:hAnsi="Lato;sans-serif"/>
          <w:b w:val="false"/>
          <w:color w:val="000000"/>
          <w:sz w:val="19"/>
        </w:rPr>
        <w:t>Reflects “Net Income” in the company’s Consolidated Income Statements included in the Company’s Annual Reports on Form 10-K for each of the years ended December 31, 2024, 2023, 2022, 2021 and 2020.</w:t>
      </w:r>
    </w:p>
    <w:p>
      <w:pPr>
        <w:pStyle w:val="TextBody"/>
        <w:bidi w:val="0"/>
        <w:spacing w:lineRule="auto" w:line="312" w:before="120" w:after="120"/>
        <w:jc w:val="left"/>
        <w:rPr/>
      </w:pPr>
      <w:r>
        <w:rPr>
          <w:rFonts w:ascii="Lato;sans-serif" w:hAnsi="Lato;sans-serif"/>
          <w:b w:val="false"/>
          <w:i/>
          <w:color w:val="000000"/>
          <w:sz w:val="19"/>
        </w:rPr>
        <w:t xml:space="preserve">Column (i). </w:t>
      </w:r>
      <w:r>
        <w:rPr>
          <w:rFonts w:ascii="Lato;sans-serif" w:hAnsi="Lato;sans-serif"/>
          <w:b w:val="false"/>
          <w:color w:val="000000"/>
          <w:sz w:val="19"/>
        </w:rPr>
        <w:t>Company-selected Measure is annual organic sales growth which is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629920"/>
                <wp:effectExtent l="0" t="0" r="0" b="0"/>
                <wp:wrapNone/>
                <wp:docPr id="346" name="Frame9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92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92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1990" w:type="dxa"/>
        <w:jc w:val="left"/>
        <w:tblInd w:w="0" w:type="dxa"/>
        <w:tblLayout w:type="fixed"/>
        <w:tblCellMar>
          <w:top w:w="28" w:type="dxa"/>
          <w:left w:w="28" w:type="dxa"/>
          <w:bottom w:w="28" w:type="dxa"/>
          <w:right w:w="28" w:type="dxa"/>
        </w:tblCellMar>
      </w:tblPr>
      <w:tblGrid>
        <w:gridCol w:w="188"/>
        <w:gridCol w:w="166"/>
        <w:gridCol w:w="167"/>
        <w:gridCol w:w="429"/>
        <w:gridCol w:w="429"/>
        <w:gridCol w:w="611"/>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47"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49" descr=""/>
                          <pic:cNvPicPr>
                            <a:picLocks noChangeAspect="1" noChangeArrowheads="1"/>
                          </pic:cNvPicPr>
                        </pic:nvPicPr>
                        <pic:blipFill>
                          <a:blip r:embed="rId250"/>
                          <a:stretch>
                            <a:fillRect/>
                          </a:stretch>
                        </pic:blipFill>
                        <pic:spPr bwMode="auto">
                          <a:xfrm>
                            <a:off x="0" y="0"/>
                            <a:ext cx="228600" cy="180975"/>
                          </a:xfrm>
                          <a:prstGeom prst="rect">
                            <a:avLst/>
                          </a:prstGeom>
                        </pic:spPr>
                      </pic:pic>
                    </a:graphicData>
                  </a:graphic>
                </wp:inline>
              </w:drawing>
            </w:r>
            <w:r>
              <w:rPr>
                <w:color w:val="000000"/>
              </w:rPr>
              <w:t> </w:t>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Other information</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120"/>
        <w:jc w:val="left"/>
        <w:rPr>
          <w:rFonts w:ascii="Lato;sans-serif" w:hAnsi="Lato;sans-serif"/>
          <w:b w:val="false"/>
          <w:color w:val="0046C8"/>
          <w:sz w:val="34"/>
        </w:rPr>
      </w:pPr>
      <w:r>
        <w:rPr>
          <w:rFonts w:ascii="Lato;sans-serif" w:hAnsi="Lato;sans-serif"/>
          <w:b w:val="false"/>
          <w:color w:val="0046C8"/>
          <w:sz w:val="34"/>
        </w:rPr>
        <w:t>Relationship Between Pay and Performance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Below are graphs showing the relationship of “compensation actually paid” to our Chief Executive Officer and other named executive officers in 2020, 2021, 2022, 2023 and 2024 to (1) total shareholder return (TSR) of both Kimberly-Clark and the S&amp;P 500 Consumer Staples Index, (2) Kimberly-Clark’s net income and (3) Kimberly-Clark’s organic sales growth.</w:t>
      </w:r>
    </w:p>
    <w:p>
      <w:pPr>
        <w:pStyle w:val="TextBody"/>
        <w:bidi w:val="0"/>
        <w:spacing w:lineRule="auto" w:line="312" w:before="120" w:after="120"/>
        <w:jc w:val="left"/>
        <w:rPr>
          <w:color w:val="000000"/>
        </w:rPr>
      </w:pPr>
      <w:r>
        <w:rPr>
          <w:color w:val="000000"/>
        </w:rPr>
        <w:t>“</w:t>
      </w:r>
      <w:r>
        <w:rPr>
          <w:rFonts w:ascii="Lato;sans-serif" w:hAnsi="Lato;sans-serif"/>
          <w:b w:val="false"/>
          <w:color w:val="000000"/>
          <w:sz w:val="19"/>
        </w:rPr>
        <w:t>Compensation actually paid” (“CAP”), as required under SEC rules, reflects adjusted values to unvested and vested equity awards during the years shown in the table based on year-end stock prices, various accounting valuation assumptions, and projected performance modifiers but does not reflect actual amounts paid out for those awards. CAP generally fluctuates due to stock price achievement and varying levels of projected and actual achievement of performance goals (as reflected in the significant decrease to 2021 CAP). For a discussion of how our Management Development and Compensation Committee assessed Kimberly-Clark’s performance and our named executive officers’ pay each year, see “Compensation Discussion and Analysis” in this proxy statement and in the proxy statements for 2020, 2021, 2022 and 2023.</w:t>
      </w:r>
    </w:p>
    <w:p>
      <w:pPr>
        <w:pStyle w:val="TextBody"/>
        <w:bidi w:val="0"/>
        <w:spacing w:lineRule="auto" w:line="288" w:before="0" w:after="0"/>
        <w:jc w:val="left"/>
        <w:rPr>
          <w:rFonts w:ascii="Lato Bold;sans-serif" w:hAnsi="Lato Bold;sans-serif"/>
          <w:b/>
          <w:color w:val="000000"/>
          <w:sz w:val="22"/>
        </w:rPr>
      </w:pPr>
      <w:r>
        <w:rPr>
          <w:rFonts w:ascii="Lato Bold;sans-serif" w:hAnsi="Lato Bold;sans-serif"/>
          <w:b/>
          <w:color w:val="000000"/>
          <w:sz w:val="22"/>
        </w:rPr>
        <w:t>Compensation Actually Paid vs. KMB and Peer Group TSR</w:t>
      </w:r>
    </w:p>
    <w:p>
      <w:pPr>
        <w:pStyle w:val="TextBody"/>
        <w:bidi w:val="0"/>
        <w:spacing w:before="120" w:after="283"/>
        <w:jc w:val="center"/>
        <w:rPr/>
      </w:pPr>
      <w:r>
        <w:rPr/>
        <w:drawing>
          <wp:inline distT="0" distB="0" distL="0" distR="0">
            <wp:extent cx="6486525" cy="2828925"/>
            <wp:effectExtent l="0" t="0" r="0" b="0"/>
            <wp:docPr id="348"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50" descr=""/>
                    <pic:cNvPicPr>
                      <a:picLocks noChangeAspect="1" noChangeArrowheads="1"/>
                    </pic:cNvPicPr>
                  </pic:nvPicPr>
                  <pic:blipFill>
                    <a:blip r:embed="rId251"/>
                    <a:stretch>
                      <a:fillRect/>
                    </a:stretch>
                  </pic:blipFill>
                  <pic:spPr bwMode="auto">
                    <a:xfrm>
                      <a:off x="0" y="0"/>
                      <a:ext cx="6486525" cy="2828925"/>
                    </a:xfrm>
                    <a:prstGeom prst="rect">
                      <a:avLst/>
                    </a:prstGeom>
                  </pic:spPr>
                </pic:pic>
              </a:graphicData>
            </a:graphic>
          </wp:inline>
        </w:drawing>
      </w:r>
    </w:p>
    <w:p>
      <w:pPr>
        <w:pStyle w:val="TextBody"/>
        <w:bidi w:val="0"/>
        <w:spacing w:lineRule="auto" w:line="312" w:before="0" w:after="0"/>
        <w:jc w:val="center"/>
        <w:rPr>
          <w:rFonts w:ascii="Lato;sans-serif" w:hAnsi="Lato;sans-serif"/>
          <w:b w:val="false"/>
          <w:color w:val="000000"/>
          <w:sz w:val="18"/>
        </w:rPr>
      </w:pPr>
      <w:r>
        <w:rPr>
          <w:rFonts w:ascii="Lato;sans-serif" w:hAnsi="Lato;sans-serif"/>
          <w:b w:val="false"/>
          <w:color w:val="000000"/>
          <w:sz w:val="18"/>
        </w:rPr>
        <w:t>Fiscal Year</w:t>
      </w:r>
    </w:p>
    <w:tbl>
      <w:tblPr>
        <w:tblW w:w="8682" w:type="dxa"/>
        <w:jc w:val="center"/>
        <w:tblInd w:w="0" w:type="dxa"/>
        <w:tblLayout w:type="fixed"/>
        <w:tblCellMar>
          <w:top w:w="28" w:type="dxa"/>
          <w:left w:w="28" w:type="dxa"/>
          <w:bottom w:w="28" w:type="dxa"/>
          <w:right w:w="28" w:type="dxa"/>
        </w:tblCellMar>
      </w:tblPr>
      <w:tblGrid>
        <w:gridCol w:w="134"/>
        <w:gridCol w:w="118"/>
        <w:gridCol w:w="119"/>
        <w:gridCol w:w="309"/>
        <w:gridCol w:w="309"/>
        <w:gridCol w:w="311"/>
        <w:gridCol w:w="118"/>
        <w:gridCol w:w="118"/>
        <w:gridCol w:w="120"/>
        <w:gridCol w:w="689"/>
        <w:gridCol w:w="689"/>
        <w:gridCol w:w="692"/>
        <w:gridCol w:w="153"/>
        <w:gridCol w:w="153"/>
        <w:gridCol w:w="155"/>
        <w:gridCol w:w="299"/>
        <w:gridCol w:w="299"/>
        <w:gridCol w:w="301"/>
        <w:gridCol w:w="133"/>
        <w:gridCol w:w="133"/>
        <w:gridCol w:w="135"/>
        <w:gridCol w:w="935"/>
        <w:gridCol w:w="935"/>
        <w:gridCol w:w="1325"/>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133350" cy="133350"/>
                  <wp:effectExtent l="0" t="0" r="0" b="0"/>
                  <wp:docPr id="349"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51" descr=""/>
                          <pic:cNvPicPr>
                            <a:picLocks noChangeAspect="1" noChangeArrowheads="1"/>
                          </pic:cNvPicPr>
                        </pic:nvPicPr>
                        <pic:blipFill>
                          <a:blip r:embed="rId252"/>
                          <a:stretch>
                            <a:fillRect/>
                          </a:stretch>
                        </pic:blipFill>
                        <pic:spPr bwMode="auto">
                          <a:xfrm>
                            <a:off x="0" y="0"/>
                            <a:ext cx="133350" cy="133350"/>
                          </a:xfrm>
                          <a:prstGeom prst="rect">
                            <a:avLst/>
                          </a:prstGeom>
                        </pic:spPr>
                      </pic:pic>
                    </a:graphicData>
                  </a:graphic>
                </wp:inline>
              </w:drawing>
            </w: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KMB CEO</w:t>
            </w:r>
          </w:p>
        </w:tc>
        <w:tc>
          <w:tcPr>
            <w:tcW w:w="356"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133350" cy="133350"/>
                  <wp:effectExtent l="0" t="0" r="0" b="0"/>
                  <wp:docPr id="350"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52" descr=""/>
                          <pic:cNvPicPr>
                            <a:picLocks noChangeAspect="1" noChangeArrowheads="1"/>
                          </pic:cNvPicPr>
                        </pic:nvPicPr>
                        <pic:blipFill>
                          <a:blip r:embed="rId253"/>
                          <a:stretch>
                            <a:fillRect/>
                          </a:stretch>
                        </pic:blipFill>
                        <pic:spPr bwMode="auto">
                          <a:xfrm>
                            <a:off x="0" y="0"/>
                            <a:ext cx="133350" cy="133350"/>
                          </a:xfrm>
                          <a:prstGeom prst="rect">
                            <a:avLst/>
                          </a:prstGeom>
                        </pic:spPr>
                      </pic:pic>
                    </a:graphicData>
                  </a:graphic>
                </wp:inline>
              </w:drawing>
            </w: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Avg. Other KMB NEOs</w:t>
            </w:r>
          </w:p>
        </w:tc>
        <w:tc>
          <w:tcPr>
            <w:tcW w:w="461"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color w:val="000000"/>
              </w:rPr>
              <w:t> </w:t>
            </w:r>
            <w:r>
              <w:rPr/>
              <w:drawing>
                <wp:inline distT="0" distB="0" distL="0" distR="0">
                  <wp:extent cx="161925" cy="95250"/>
                  <wp:effectExtent l="0" t="0" r="0" b="0"/>
                  <wp:docPr id="351"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53" descr=""/>
                          <pic:cNvPicPr>
                            <a:picLocks noChangeAspect="1" noChangeArrowheads="1"/>
                          </pic:cNvPicPr>
                        </pic:nvPicPr>
                        <pic:blipFill>
                          <a:blip r:embed="rId254"/>
                          <a:stretch>
                            <a:fillRect/>
                          </a:stretch>
                        </pic:blipFill>
                        <pic:spPr bwMode="auto">
                          <a:xfrm>
                            <a:off x="0" y="0"/>
                            <a:ext cx="161925" cy="95250"/>
                          </a:xfrm>
                          <a:prstGeom prst="rect">
                            <a:avLst/>
                          </a:prstGeom>
                        </pic:spPr>
                      </pic:pic>
                    </a:graphicData>
                  </a:graphic>
                </wp:inline>
              </w:drawing>
            </w:r>
            <w:r>
              <w:rPr>
                <w:color w:val="000000"/>
              </w:rPr>
              <w:t> </w:t>
            </w:r>
          </w:p>
        </w:tc>
        <w:tc>
          <w:tcPr>
            <w:tcW w:w="89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KMB TSR</w:t>
            </w:r>
          </w:p>
        </w:tc>
        <w:tc>
          <w:tcPr>
            <w:tcW w:w="401"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161925" cy="95250"/>
                  <wp:effectExtent l="0" t="0" r="0" b="0"/>
                  <wp:docPr id="352"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54" descr=""/>
                          <pic:cNvPicPr>
                            <a:picLocks noChangeAspect="1" noChangeArrowheads="1"/>
                          </pic:cNvPicPr>
                        </pic:nvPicPr>
                        <pic:blipFill>
                          <a:blip r:embed="rId255"/>
                          <a:stretch>
                            <a:fillRect/>
                          </a:stretch>
                        </pic:blipFill>
                        <pic:spPr bwMode="auto">
                          <a:xfrm>
                            <a:off x="0" y="0"/>
                            <a:ext cx="161925" cy="95250"/>
                          </a:xfrm>
                          <a:prstGeom prst="rect">
                            <a:avLst/>
                          </a:prstGeom>
                        </pic:spPr>
                      </pic:pic>
                    </a:graphicData>
                  </a:graphic>
                </wp:inline>
              </w:drawing>
            </w:r>
            <w:r>
              <w:rPr>
                <w:color w:val="000000"/>
              </w:rPr>
              <w:t> </w:t>
            </w:r>
          </w:p>
        </w:tc>
        <w:tc>
          <w:tcPr>
            <w:tcW w:w="31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S&amp;P 500 Consumer Staples Index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629920"/>
                <wp:effectExtent l="0" t="0" r="0" b="0"/>
                <wp:wrapNone/>
                <wp:docPr id="353" name="Frame9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93</w:t>
                            </w:r>
                          </w:p>
                        </w:tc>
                      </w:tr>
                    </w:tbl>
                    <w:p>
                      <w:pPr>
                        <w:pStyle w:val="TextBody"/>
                        <w:bidi w:val="0"/>
                        <w:spacing w:before="0" w:after="283"/>
                        <w:jc w:val="left"/>
                        <w:rPr/>
                      </w:pPr>
                      <w:r>
                        <w:rPr/>
                      </w:r>
                    </w:p>
                  </w:txbxContent>
                </v:textbox>
                <w10:wrap type="none"/>
              </v:rect>
            </w:pict>
          </mc:Fallback>
        </mc:AlternateContent>
      </w:r>
    </w:p>
    <w:tbl>
      <w:tblPr>
        <w:tblW w:w="1991" w:type="dxa"/>
        <w:jc w:val="left"/>
        <w:tblInd w:w="0" w:type="dxa"/>
        <w:tblLayout w:type="fixed"/>
        <w:tblCellMar>
          <w:top w:w="28" w:type="dxa"/>
          <w:left w:w="28" w:type="dxa"/>
          <w:bottom w:w="28" w:type="dxa"/>
          <w:right w:w="28" w:type="dxa"/>
        </w:tblCellMar>
      </w:tblPr>
      <w:tblGrid>
        <w:gridCol w:w="521"/>
        <w:gridCol w:w="459"/>
        <w:gridCol w:w="460"/>
        <w:gridCol w:w="161"/>
        <w:gridCol w:w="161"/>
        <w:gridCol w:w="229"/>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Other information</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54"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55" descr=""/>
                          <pic:cNvPicPr>
                            <a:picLocks noChangeAspect="1" noChangeArrowheads="1"/>
                          </pic:cNvPicPr>
                        </pic:nvPicPr>
                        <pic:blipFill>
                          <a:blip r:embed="rId256"/>
                          <a:stretch>
                            <a:fillRect/>
                          </a:stretch>
                        </pic:blipFill>
                        <pic:spPr bwMode="auto">
                          <a:xfrm>
                            <a:off x="0" y="0"/>
                            <a:ext cx="228600" cy="180975"/>
                          </a:xfrm>
                          <a:prstGeom prst="rect">
                            <a:avLst/>
                          </a:prstGeom>
                        </pic:spPr>
                      </pic:pic>
                    </a:graphicData>
                  </a:graphic>
                </wp:inline>
              </w:drawing>
            </w:r>
            <w:r>
              <w:rPr>
                <w:color w:val="000000"/>
              </w:rPr>
              <w:t> </w:t>
            </w:r>
          </w:p>
        </w:tc>
      </w:tr>
      <w:tr>
        <w:trPr/>
        <w:tc>
          <w:tcPr>
            <w:tcW w:w="144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20"/>
        <w:jc w:val="left"/>
        <w:rPr>
          <w:rFonts w:ascii="Lato Bold;sans-serif" w:hAnsi="Lato Bold;sans-serif"/>
          <w:b/>
          <w:color w:val="000000"/>
          <w:sz w:val="22"/>
        </w:rPr>
      </w:pPr>
      <w:r>
        <w:rPr>
          <w:rFonts w:ascii="Lato Bold;sans-serif" w:hAnsi="Lato Bold;sans-serif"/>
          <w:b/>
          <w:color w:val="000000"/>
          <w:sz w:val="22"/>
        </w:rPr>
        <w:t>Compensation Actually Paid vs. KMB Net Income</w:t>
      </w:r>
    </w:p>
    <w:p>
      <w:pPr>
        <w:pStyle w:val="TextBody"/>
        <w:bidi w:val="0"/>
        <w:spacing w:before="120" w:after="283"/>
        <w:jc w:val="center"/>
        <w:rPr/>
      </w:pPr>
      <w:r>
        <w:rPr/>
        <w:drawing>
          <wp:inline distT="0" distB="0" distL="0" distR="0">
            <wp:extent cx="6486525" cy="2828925"/>
            <wp:effectExtent l="0" t="0" r="0" b="0"/>
            <wp:docPr id="355"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56" descr=""/>
                    <pic:cNvPicPr>
                      <a:picLocks noChangeAspect="1" noChangeArrowheads="1"/>
                    </pic:cNvPicPr>
                  </pic:nvPicPr>
                  <pic:blipFill>
                    <a:blip r:embed="rId257"/>
                    <a:stretch>
                      <a:fillRect/>
                    </a:stretch>
                  </pic:blipFill>
                  <pic:spPr bwMode="auto">
                    <a:xfrm>
                      <a:off x="0" y="0"/>
                      <a:ext cx="6486525" cy="2828925"/>
                    </a:xfrm>
                    <a:prstGeom prst="rect">
                      <a:avLst/>
                    </a:prstGeom>
                  </pic:spPr>
                </pic:pic>
              </a:graphicData>
            </a:graphic>
          </wp:inline>
        </w:drawing>
      </w:r>
    </w:p>
    <w:p>
      <w:pPr>
        <w:pStyle w:val="TextBody"/>
        <w:bidi w:val="0"/>
        <w:spacing w:lineRule="auto" w:line="312" w:before="0" w:after="120"/>
        <w:jc w:val="center"/>
        <w:rPr>
          <w:rFonts w:ascii="Lato;sans-serif" w:hAnsi="Lato;sans-serif"/>
          <w:b w:val="false"/>
          <w:color w:val="000000"/>
          <w:sz w:val="18"/>
        </w:rPr>
      </w:pPr>
      <w:r>
        <w:rPr>
          <w:rFonts w:ascii="Lato;sans-serif" w:hAnsi="Lato;sans-serif"/>
          <w:b w:val="false"/>
          <w:color w:val="000000"/>
          <w:sz w:val="18"/>
        </w:rPr>
        <w:t>Fiscal Year</w:t>
      </w:r>
    </w:p>
    <w:tbl>
      <w:tblPr>
        <w:tblW w:w="5776" w:type="dxa"/>
        <w:jc w:val="center"/>
        <w:tblInd w:w="0" w:type="dxa"/>
        <w:tblLayout w:type="fixed"/>
        <w:tblCellMar>
          <w:top w:w="28" w:type="dxa"/>
          <w:left w:w="28" w:type="dxa"/>
          <w:bottom w:w="28" w:type="dxa"/>
          <w:right w:w="28" w:type="dxa"/>
        </w:tblCellMar>
      </w:tblPr>
      <w:tblGrid>
        <w:gridCol w:w="134"/>
        <w:gridCol w:w="118"/>
        <w:gridCol w:w="119"/>
        <w:gridCol w:w="309"/>
        <w:gridCol w:w="309"/>
        <w:gridCol w:w="311"/>
        <w:gridCol w:w="118"/>
        <w:gridCol w:w="118"/>
        <w:gridCol w:w="120"/>
        <w:gridCol w:w="689"/>
        <w:gridCol w:w="689"/>
        <w:gridCol w:w="692"/>
        <w:gridCol w:w="133"/>
        <w:gridCol w:w="133"/>
        <w:gridCol w:w="135"/>
        <w:gridCol w:w="483"/>
        <w:gridCol w:w="483"/>
        <w:gridCol w:w="683"/>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133350" cy="133350"/>
                  <wp:effectExtent l="0" t="0" r="0" b="0"/>
                  <wp:docPr id="356"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57" descr=""/>
                          <pic:cNvPicPr>
                            <a:picLocks noChangeAspect="1" noChangeArrowheads="1"/>
                          </pic:cNvPicPr>
                        </pic:nvPicPr>
                        <pic:blipFill>
                          <a:blip r:embed="rId258"/>
                          <a:stretch>
                            <a:fillRect/>
                          </a:stretch>
                        </pic:blipFill>
                        <pic:spPr bwMode="auto">
                          <a:xfrm>
                            <a:off x="0" y="0"/>
                            <a:ext cx="133350" cy="133350"/>
                          </a:xfrm>
                          <a:prstGeom prst="rect">
                            <a:avLst/>
                          </a:prstGeom>
                        </pic:spPr>
                      </pic:pic>
                    </a:graphicData>
                  </a:graphic>
                </wp:inline>
              </w:drawing>
            </w: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KMB CEO</w:t>
            </w:r>
          </w:p>
        </w:tc>
        <w:tc>
          <w:tcPr>
            <w:tcW w:w="356"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133350" cy="133350"/>
                  <wp:effectExtent l="0" t="0" r="0" b="0"/>
                  <wp:docPr id="357"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58" descr=""/>
                          <pic:cNvPicPr>
                            <a:picLocks noChangeAspect="1" noChangeArrowheads="1"/>
                          </pic:cNvPicPr>
                        </pic:nvPicPr>
                        <pic:blipFill>
                          <a:blip r:embed="rId259"/>
                          <a:stretch>
                            <a:fillRect/>
                          </a:stretch>
                        </pic:blipFill>
                        <pic:spPr bwMode="auto">
                          <a:xfrm>
                            <a:off x="0" y="0"/>
                            <a:ext cx="133350" cy="133350"/>
                          </a:xfrm>
                          <a:prstGeom prst="rect">
                            <a:avLst/>
                          </a:prstGeom>
                        </pic:spPr>
                      </pic:pic>
                    </a:graphicData>
                  </a:graphic>
                </wp:inline>
              </w:drawing>
            </w: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Avg. Other KMB NEOs</w:t>
            </w:r>
          </w:p>
        </w:tc>
        <w:tc>
          <w:tcPr>
            <w:tcW w:w="401"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161925" cy="95250"/>
                  <wp:effectExtent l="0" t="0" r="0" b="0"/>
                  <wp:docPr id="358"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59" descr=""/>
                          <pic:cNvPicPr>
                            <a:picLocks noChangeAspect="1" noChangeArrowheads="1"/>
                          </pic:cNvPicPr>
                        </pic:nvPicPr>
                        <pic:blipFill>
                          <a:blip r:embed="rId260"/>
                          <a:stretch>
                            <a:fillRect/>
                          </a:stretch>
                        </pic:blipFill>
                        <pic:spPr bwMode="auto">
                          <a:xfrm>
                            <a:off x="0" y="0"/>
                            <a:ext cx="161925" cy="95250"/>
                          </a:xfrm>
                          <a:prstGeom prst="rect">
                            <a:avLst/>
                          </a:prstGeom>
                        </pic:spPr>
                      </pic:pic>
                    </a:graphicData>
                  </a:graphic>
                </wp:inline>
              </w:drawing>
            </w: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KMB Net Income</w:t>
            </w:r>
          </w:p>
        </w:tc>
      </w:tr>
    </w:tbl>
    <w:p>
      <w:pPr>
        <w:pStyle w:val="TextBody"/>
        <w:bidi w:val="0"/>
        <w:spacing w:lineRule="auto" w:line="288" w:before="220" w:after="120"/>
        <w:jc w:val="left"/>
        <w:rPr>
          <w:rFonts w:ascii="Lato Bold;sans-serif" w:hAnsi="Lato Bold;sans-serif"/>
          <w:b/>
          <w:color w:val="000000"/>
          <w:sz w:val="22"/>
        </w:rPr>
      </w:pPr>
      <w:r>
        <w:rPr>
          <w:rFonts w:ascii="Lato Bold;sans-serif" w:hAnsi="Lato Bold;sans-serif"/>
          <w:b/>
          <w:color w:val="000000"/>
          <w:sz w:val="22"/>
        </w:rPr>
        <w:t>Compensation Actually Paid vs. KMB Annual Organic Sales Growth %</w:t>
      </w:r>
    </w:p>
    <w:p>
      <w:pPr>
        <w:pStyle w:val="TextBody"/>
        <w:bidi w:val="0"/>
        <w:spacing w:before="120" w:after="283"/>
        <w:jc w:val="center"/>
        <w:rPr/>
      </w:pPr>
      <w:r>
        <w:rPr/>
        <w:drawing>
          <wp:inline distT="0" distB="0" distL="0" distR="0">
            <wp:extent cx="6486525" cy="2828925"/>
            <wp:effectExtent l="0" t="0" r="0" b="0"/>
            <wp:docPr id="359"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60" descr=""/>
                    <pic:cNvPicPr>
                      <a:picLocks noChangeAspect="1" noChangeArrowheads="1"/>
                    </pic:cNvPicPr>
                  </pic:nvPicPr>
                  <pic:blipFill>
                    <a:blip r:embed="rId261"/>
                    <a:stretch>
                      <a:fillRect/>
                    </a:stretch>
                  </pic:blipFill>
                  <pic:spPr bwMode="auto">
                    <a:xfrm>
                      <a:off x="0" y="0"/>
                      <a:ext cx="6486525" cy="2828925"/>
                    </a:xfrm>
                    <a:prstGeom prst="rect">
                      <a:avLst/>
                    </a:prstGeom>
                  </pic:spPr>
                </pic:pic>
              </a:graphicData>
            </a:graphic>
          </wp:inline>
        </w:drawing>
      </w:r>
    </w:p>
    <w:p>
      <w:pPr>
        <w:pStyle w:val="TextBody"/>
        <w:bidi w:val="0"/>
        <w:spacing w:lineRule="auto" w:line="312" w:before="0" w:after="120"/>
        <w:jc w:val="center"/>
        <w:rPr>
          <w:rFonts w:ascii="Lato;sans-serif" w:hAnsi="Lato;sans-serif"/>
          <w:b w:val="false"/>
          <w:color w:val="000000"/>
          <w:sz w:val="18"/>
        </w:rPr>
      </w:pPr>
      <w:r>
        <w:rPr>
          <w:rFonts w:ascii="Lato;sans-serif" w:hAnsi="Lato;sans-serif"/>
          <w:b w:val="false"/>
          <w:color w:val="000000"/>
          <w:sz w:val="18"/>
        </w:rPr>
        <w:t>Fiscal Year</w:t>
      </w:r>
    </w:p>
    <w:tbl>
      <w:tblPr>
        <w:tblW w:w="6677" w:type="dxa"/>
        <w:jc w:val="center"/>
        <w:tblInd w:w="0" w:type="dxa"/>
        <w:tblLayout w:type="fixed"/>
        <w:tblCellMar>
          <w:top w:w="28" w:type="dxa"/>
          <w:left w:w="28" w:type="dxa"/>
          <w:bottom w:w="28" w:type="dxa"/>
          <w:right w:w="28" w:type="dxa"/>
        </w:tblCellMar>
      </w:tblPr>
      <w:tblGrid>
        <w:gridCol w:w="134"/>
        <w:gridCol w:w="118"/>
        <w:gridCol w:w="119"/>
        <w:gridCol w:w="309"/>
        <w:gridCol w:w="309"/>
        <w:gridCol w:w="311"/>
        <w:gridCol w:w="118"/>
        <w:gridCol w:w="118"/>
        <w:gridCol w:w="120"/>
        <w:gridCol w:w="689"/>
        <w:gridCol w:w="689"/>
        <w:gridCol w:w="692"/>
        <w:gridCol w:w="133"/>
        <w:gridCol w:w="133"/>
        <w:gridCol w:w="135"/>
        <w:gridCol w:w="745"/>
        <w:gridCol w:w="745"/>
        <w:gridCol w:w="1060"/>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133350" cy="133350"/>
                  <wp:effectExtent l="0" t="0" r="0" b="0"/>
                  <wp:docPr id="360"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61" descr=""/>
                          <pic:cNvPicPr>
                            <a:picLocks noChangeAspect="1" noChangeArrowheads="1"/>
                          </pic:cNvPicPr>
                        </pic:nvPicPr>
                        <pic:blipFill>
                          <a:blip r:embed="rId262"/>
                          <a:stretch>
                            <a:fillRect/>
                          </a:stretch>
                        </pic:blipFill>
                        <pic:spPr bwMode="auto">
                          <a:xfrm>
                            <a:off x="0" y="0"/>
                            <a:ext cx="133350" cy="133350"/>
                          </a:xfrm>
                          <a:prstGeom prst="rect">
                            <a:avLst/>
                          </a:prstGeom>
                        </pic:spPr>
                      </pic:pic>
                    </a:graphicData>
                  </a:graphic>
                </wp:inline>
              </w:drawing>
            </w: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KMB CEO</w:t>
            </w:r>
          </w:p>
        </w:tc>
        <w:tc>
          <w:tcPr>
            <w:tcW w:w="356"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133350" cy="133350"/>
                  <wp:effectExtent l="0" t="0" r="0" b="0"/>
                  <wp:docPr id="361"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62" descr=""/>
                          <pic:cNvPicPr>
                            <a:picLocks noChangeAspect="1" noChangeArrowheads="1"/>
                          </pic:cNvPicPr>
                        </pic:nvPicPr>
                        <pic:blipFill>
                          <a:blip r:embed="rId263"/>
                          <a:stretch>
                            <a:fillRect/>
                          </a:stretch>
                        </pic:blipFill>
                        <pic:spPr bwMode="auto">
                          <a:xfrm>
                            <a:off x="0" y="0"/>
                            <a:ext cx="133350" cy="133350"/>
                          </a:xfrm>
                          <a:prstGeom prst="rect">
                            <a:avLst/>
                          </a:prstGeom>
                        </pic:spPr>
                      </pic:pic>
                    </a:graphicData>
                  </a:graphic>
                </wp:inline>
              </w:drawing>
            </w: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Avg. Other KMB NEOs</w:t>
            </w:r>
          </w:p>
        </w:tc>
        <w:tc>
          <w:tcPr>
            <w:tcW w:w="401" w:type="dxa"/>
            <w:gridSpan w:val="3"/>
            <w:tcBorders/>
            <w:tcMar>
              <w:top w:w="0" w:type="dxa"/>
              <w:left w:w="0" w:type="dxa"/>
              <w:bottom w:w="0" w:type="dxa"/>
              <w:right w:w="0" w:type="dxa"/>
            </w:tcMar>
            <w:vAlign w:val="center"/>
          </w:tcPr>
          <w:p>
            <w:pPr>
              <w:pStyle w:val="TableContents"/>
              <w:bidi w:val="0"/>
              <w:spacing w:lineRule="auto" w:line="312" w:before="120" w:after="120"/>
              <w:jc w:val="center"/>
              <w:rPr/>
            </w:pPr>
            <w:r>
              <w:rPr/>
              <w:drawing>
                <wp:inline distT="0" distB="0" distL="0" distR="0">
                  <wp:extent cx="161925" cy="95250"/>
                  <wp:effectExtent l="0" t="0" r="0" b="0"/>
                  <wp:docPr id="362"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63" descr=""/>
                          <pic:cNvPicPr>
                            <a:picLocks noChangeAspect="1" noChangeArrowheads="1"/>
                          </pic:cNvPicPr>
                        </pic:nvPicPr>
                        <pic:blipFill>
                          <a:blip r:embed="rId264"/>
                          <a:stretch>
                            <a:fillRect/>
                          </a:stretch>
                        </pic:blipFill>
                        <pic:spPr bwMode="auto">
                          <a:xfrm>
                            <a:off x="0" y="0"/>
                            <a:ext cx="161925" cy="95250"/>
                          </a:xfrm>
                          <a:prstGeom prst="rect">
                            <a:avLst/>
                          </a:prstGeom>
                        </pic:spPr>
                      </pic:pic>
                    </a:graphicData>
                  </a:graphic>
                </wp:inline>
              </w:drawing>
            </w:r>
            <w:r>
              <w:rPr>
                <w:color w:val="000000"/>
              </w:rPr>
              <w:t> </w:t>
            </w:r>
          </w:p>
        </w:tc>
        <w:tc>
          <w:tcPr>
            <w:tcW w:w="255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8"/>
              </w:rPr>
            </w:pPr>
            <w:r>
              <w:rPr>
                <w:rFonts w:ascii="Lato;sans-serif" w:hAnsi="Lato;sans-serif"/>
                <w:b w:val="false"/>
                <w:color w:val="000000"/>
                <w:sz w:val="18"/>
              </w:rPr>
              <w:t>KMB Organic Sales Growth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629920"/>
                <wp:effectExtent l="0" t="0" r="0" b="0"/>
                <wp:wrapNone/>
                <wp:docPr id="363" name="Frame10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94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94</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1990" w:type="dxa"/>
        <w:jc w:val="left"/>
        <w:tblInd w:w="0" w:type="dxa"/>
        <w:tblLayout w:type="fixed"/>
        <w:tblCellMar>
          <w:top w:w="28" w:type="dxa"/>
          <w:left w:w="28" w:type="dxa"/>
          <w:bottom w:w="28" w:type="dxa"/>
          <w:right w:w="28" w:type="dxa"/>
        </w:tblCellMar>
      </w:tblPr>
      <w:tblGrid>
        <w:gridCol w:w="188"/>
        <w:gridCol w:w="166"/>
        <w:gridCol w:w="167"/>
        <w:gridCol w:w="429"/>
        <w:gridCol w:w="429"/>
        <w:gridCol w:w="611"/>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64"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64" descr=""/>
                          <pic:cNvPicPr>
                            <a:picLocks noChangeAspect="1" noChangeArrowheads="1"/>
                          </pic:cNvPicPr>
                        </pic:nvPicPr>
                        <pic:blipFill>
                          <a:blip r:embed="rId265"/>
                          <a:stretch>
                            <a:fillRect/>
                          </a:stretch>
                        </pic:blipFill>
                        <pic:spPr bwMode="auto">
                          <a:xfrm>
                            <a:off x="0" y="0"/>
                            <a:ext cx="228600" cy="180975"/>
                          </a:xfrm>
                          <a:prstGeom prst="rect">
                            <a:avLst/>
                          </a:prstGeom>
                        </pic:spPr>
                      </pic:pic>
                    </a:graphicData>
                  </a:graphic>
                </wp:inline>
              </w:drawing>
            </w:r>
            <w:r>
              <w:rPr>
                <w:color w:val="000000"/>
              </w:rPr>
              <w:t> </w:t>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Other information</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Listed below are the financial and non-financial performance measures which in our assessment represent the most important financial performance measures we use to link compensation actually paid to our named executive officers, for 2024, to company performance.</w:t>
      </w:r>
    </w:p>
    <w:tbl>
      <w:tblPr>
        <w:tblW w:w="10205" w:type="dxa"/>
        <w:jc w:val="left"/>
        <w:tblInd w:w="0" w:type="dxa"/>
        <w:tblLayout w:type="fixed"/>
        <w:tblCellMar>
          <w:top w:w="28" w:type="dxa"/>
          <w:left w:w="28" w:type="dxa"/>
          <w:bottom w:w="28" w:type="dxa"/>
          <w:right w:w="28" w:type="dxa"/>
        </w:tblCellMar>
      </w:tblPr>
      <w:tblGrid>
        <w:gridCol w:w="482"/>
        <w:gridCol w:w="423"/>
        <w:gridCol w:w="426"/>
        <w:gridCol w:w="655"/>
        <w:gridCol w:w="507"/>
        <w:gridCol w:w="419"/>
        <w:gridCol w:w="2130"/>
        <w:gridCol w:w="2130"/>
        <w:gridCol w:w="3033"/>
      </w:tblGrid>
      <w:tr>
        <w:trPr/>
        <w:tc>
          <w:tcPr>
            <w:tcW w:w="48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Measure</w:t>
            </w:r>
          </w:p>
        </w:tc>
        <w:tc>
          <w:tcPr>
            <w:tcW w:w="1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Nature</w:t>
            </w:r>
          </w:p>
        </w:tc>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9"/>
              </w:rPr>
            </w:pPr>
            <w:r>
              <w:rPr>
                <w:rFonts w:ascii="Lato Bold;sans-serif" w:hAnsi="Lato Bold;sans-serif"/>
                <w:b/>
                <w:color w:val="000000"/>
                <w:sz w:val="19"/>
              </w:rPr>
              <w:t>Explanation</w:t>
            </w:r>
          </w:p>
        </w:tc>
      </w:tr>
      <w:tr>
        <w:trPr/>
        <w:tc>
          <w:tcPr>
            <w:tcW w:w="1331"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3"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Organic sales growth</w:t>
            </w:r>
          </w:p>
        </w:tc>
        <w:tc>
          <w:tcPr>
            <w:tcW w:w="158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Financial measure</w:t>
            </w:r>
          </w:p>
        </w:tc>
        <w:tc>
          <w:tcPr>
            <w:tcW w:w="7293"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A non-GAAP financial measure consisting of sales growth generated from within the company and excluding the impact of currency changes, business exits, and acquisition/ divestiture activity.</w:t>
            </w:r>
          </w:p>
        </w:tc>
      </w:tr>
      <w:tr>
        <w:trPr/>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Modified free cash flow</w:t>
            </w:r>
          </w:p>
        </w:tc>
        <w:tc>
          <w:tcPr>
            <w:tcW w:w="158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Financial measure</w:t>
            </w:r>
          </w:p>
        </w:tc>
        <w:tc>
          <w:tcPr>
            <w:tcW w:w="7293"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312" w:before="0" w:after="120"/>
              <w:jc w:val="left"/>
              <w:rPr>
                <w:rFonts w:ascii="Lato;sans-serif" w:hAnsi="Lato;sans-serif"/>
                <w:b w:val="false"/>
                <w:color w:val="000000"/>
                <w:sz w:val="19"/>
              </w:rPr>
            </w:pPr>
            <w:r>
              <w:rPr>
                <w:rFonts w:ascii="Lato;sans-serif" w:hAnsi="Lato;sans-serif"/>
                <w:b w:val="false"/>
                <w:color w:val="000000"/>
                <w:sz w:val="19"/>
              </w:rPr>
              <w:t>A non-GAAP financial measure consisting of cash produced through operations, minus outlays of cash for capital expenditures.</w:t>
            </w:r>
          </w:p>
          <w:p>
            <w:pPr>
              <w:pStyle w:val="TableContents"/>
              <w:bidi w:val="0"/>
              <w:spacing w:lineRule="auto" w:line="312" w:before="120" w:after="283"/>
              <w:jc w:val="left"/>
              <w:rPr>
                <w:rFonts w:ascii="Lato;sans-serif" w:hAnsi="Lato;sans-serif"/>
                <w:b w:val="false"/>
                <w:color w:val="000000"/>
                <w:sz w:val="19"/>
              </w:rPr>
            </w:pPr>
            <w:r>
              <w:rPr>
                <w:rFonts w:ascii="Lato;sans-serif" w:hAnsi="Lato;sans-serif"/>
                <w:b w:val="false"/>
                <w:color w:val="000000"/>
                <w:sz w:val="19"/>
              </w:rPr>
              <w:t>Free cash flow may be modified for externally disclosed unusual items and/or material unplanned business events.</w:t>
            </w:r>
          </w:p>
        </w:tc>
      </w:tr>
      <w:tr>
        <w:trPr/>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Adjusted EPS</w:t>
            </w:r>
          </w:p>
        </w:tc>
        <w:tc>
          <w:tcPr>
            <w:tcW w:w="158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Financial measure</w:t>
            </w:r>
          </w:p>
        </w:tc>
        <w:tc>
          <w:tcPr>
            <w:tcW w:w="7293"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A non-GAAP financial measure that consists of diluted net income per share that is then adjusted to eliminate the effect of items or events that the Committee determines in its discretion should be excluded for compensation purposes.</w:t>
            </w:r>
          </w:p>
        </w:tc>
      </w:tr>
      <w:tr>
        <w:trPr/>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Market share</w:t>
            </w:r>
          </w:p>
        </w:tc>
        <w:tc>
          <w:tcPr>
            <w:tcW w:w="158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Non-financial measure</w:t>
            </w:r>
          </w:p>
        </w:tc>
        <w:tc>
          <w:tcPr>
            <w:tcW w:w="7293"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Grow or maintain overall weighted market share.</w:t>
            </w:r>
          </w:p>
        </w:tc>
      </w:tr>
      <w:tr>
        <w:trPr/>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3"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Inclusion, equity,</w:t>
              <w:br/>
              <w:t>and diversity</w:t>
            </w:r>
          </w:p>
        </w:tc>
        <w:tc>
          <w:tcPr>
            <w:tcW w:w="1581"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Non-financial measure</w:t>
            </w:r>
          </w:p>
        </w:tc>
        <w:tc>
          <w:tcPr>
            <w:tcW w:w="7293"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Progress towards building a culture of inclusion that encourages the recruitment, development and retention of talent from all backgrounds.</w:t>
            </w:r>
          </w:p>
        </w:tc>
      </w:tr>
      <w:tr>
        <w:trPr/>
        <w:tc>
          <w:tcPr>
            <w:tcW w:w="1331" w:type="dxa"/>
            <w:gridSpan w:val="3"/>
            <w:tcBorders>
              <w:top w:val="single" w:sz="8" w:space="0" w:color="FFFFFF"/>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FFFFFF"/>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7293" w:type="dxa"/>
            <w:gridSpan w:val="3"/>
            <w:tcBorders>
              <w:bottom w:val="single" w:sz="8" w:space="0" w:color="0046C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CEO Pay Ratio Disclosure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In accordance with the Dodd-Frank Act and applicable SEC rules, we are providing the following information about the relationship of our CEO’s compensation to the compensation of all our employees. For 2024:</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 total compensation of our median employee was $53,733</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 total compensation of our CEO, as reported in the Summary Compensation Table, was $16,413,045</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the ratio of our CEO’s total compensation to the median employee total compensation was 305 to 1</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To identify our median employee, we compared the base salaries and target annual incentives of our employees as of October 31, 2024. At that date, we had 38,776 employees, of which 11,586 were U.S. employees and 27,190 were non-U.S. employees. We excluded 1,915 employees based in Indonesia as permitted by SEC rules under a de minimis exemption. The number of excluded employees under the exemption represented less than 5.0 percent of our population. As a result of the exclusion, the “considered population” for identifying the median employee was 36,861. We did not make any cost-of-living adjustments.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Similar to our CEO, our employees enjoy a comprehensive compensation, benefit, and company and/or state-sponsored retirement package that we determine by benchmarking to local market practice.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629920"/>
                <wp:effectExtent l="0" t="0" r="0" b="0"/>
                <wp:wrapNone/>
                <wp:docPr id="365" name="Frame10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95</w:t>
                            </w:r>
                          </w:p>
                        </w:tc>
                      </w:tr>
                    </w:tbl>
                    <w:p>
                      <w:pPr>
                        <w:pStyle w:val="TextBody"/>
                        <w:bidi w:val="0"/>
                        <w:spacing w:before="0" w:after="283"/>
                        <w:jc w:val="left"/>
                        <w:rPr/>
                      </w:pPr>
                      <w:r>
                        <w:rPr/>
                      </w:r>
                    </w:p>
                  </w:txbxContent>
                </v:textbox>
                <w10:wrap type="none"/>
              </v:rect>
            </w:pict>
          </mc:Fallback>
        </mc:AlternateContent>
      </w:r>
    </w:p>
    <w:tbl>
      <w:tblPr>
        <w:tblW w:w="893" w:type="dxa"/>
        <w:jc w:val="left"/>
        <w:tblInd w:w="0" w:type="dxa"/>
        <w:tblLayout w:type="fixed"/>
        <w:tblCellMar>
          <w:top w:w="28" w:type="dxa"/>
          <w:left w:w="28" w:type="dxa"/>
          <w:bottom w:w="28" w:type="dxa"/>
          <w:right w:w="28" w:type="dxa"/>
        </w:tblCellMar>
      </w:tblPr>
      <w:tblGrid>
        <w:gridCol w:w="124"/>
        <w:gridCol w:w="109"/>
        <w:gridCol w:w="109"/>
        <w:gridCol w:w="161"/>
        <w:gridCol w:w="161"/>
        <w:gridCol w:w="2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66"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65" descr=""/>
                          <pic:cNvPicPr>
                            <a:picLocks noChangeAspect="1" noChangeArrowheads="1"/>
                          </pic:cNvPicPr>
                        </pic:nvPicPr>
                        <pic:blipFill>
                          <a:blip r:embed="rId266"/>
                          <a:stretch>
                            <a:fillRect/>
                          </a:stretch>
                        </pic:blipFill>
                        <pic:spPr bwMode="auto">
                          <a:xfrm>
                            <a:off x="0" y="0"/>
                            <a:ext cx="228600" cy="180975"/>
                          </a:xfrm>
                          <a:prstGeom prst="rect">
                            <a:avLst/>
                          </a:prstGeom>
                        </pic:spPr>
                      </pic:pic>
                    </a:graphicData>
                  </a:graphic>
                </wp:inline>
              </w:drawing>
            </w:r>
            <w:r>
              <w:rPr>
                <w:color w:val="000000"/>
              </w:rPr>
              <w:t> </w:t>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120"/>
        <w:jc w:val="left"/>
        <w:rPr>
          <w:rFonts w:ascii="Lato;sans-serif" w:hAnsi="Lato;sans-serif"/>
          <w:b w:val="false"/>
          <w:color w:val="0046C8"/>
          <w:sz w:val="48"/>
        </w:rPr>
      </w:pPr>
      <w:r>
        <w:rPr>
          <w:rFonts w:ascii="Lato;sans-serif" w:hAnsi="Lato;sans-serif"/>
          <w:b w:val="false"/>
          <w:color w:val="0046C8"/>
          <w:sz w:val="48"/>
        </w:rPr>
        <w:t>General Information about our Annual Meeting</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On behalf of the Board of Directors of Kimberly-Clark Corporation, we are soliciting your proxy for use at the 2025 Annual Meeting of Stockholders, to be held virtually on May 1, 2025, at 8:00 a.m. Central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How We Provide Proxy Materials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We began providing our proxy statement and form of proxy to stockholders on March 10, 2025.</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As SEC rules permit, we are making our proxy statement and our annual report available to many of our stockholders via the Internet rather than by mail. This reduces printing and delivery costs and supports our sustainability efforts. You may have received in the mail a “Notice of Electronic Availability” explaining how to access this proxy statement and our annual report on the Internet and how to vote online. If you received this Notice but would like to receive a paper copy of the proxy materials, you should follow the instructions contained in the notice for requesting these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Who May Vote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If you were a stockholder of record at the close of business on the record date of March 3, 2025, you are eligible to vote at the meeting. Each share that you own entitles you to one vote.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As of the record date, 331,651,706 shares of our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How to Vote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You may vote by attending the meeting, by using the Internet or telephone, or (if you received printed proxy materials) by completing and returning a proxy form by mail. If Internet or telephone voting is available to you, see the instructions on the notice of electronic availability or the proxy form and have the notice or proxy form available when you access the Internet website or place your telephone call. To vote your proxy by mail, mark your vote on the proxy form, then follow the instructions on the card.</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Please note that if you received a notice of electronic availability as described above, you cannot vote your shares by filling out and returning the notice. Instead, you should follow the instructions contained in the notice on how to vote by using the Internet or telephone.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named proxies will vote your shares according to your directions. The voting results will be certified by independent Inspectors of Election.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If you sign and return your proxy form, or if you vote using the Internet or by telephone, but you do not specify how you want to vote your shares, the named proxies will vote your shares as follows: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FOR the election of directors named in this proxy statement</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FOR ratification of the selection of our independent auditor</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FOR approval of the compensation of our named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629920"/>
                <wp:effectExtent l="0" t="0" r="0" b="0"/>
                <wp:wrapNone/>
                <wp:docPr id="367" name="Frame10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96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96</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4076" w:type="dxa"/>
        <w:jc w:val="left"/>
        <w:tblInd w:w="0" w:type="dxa"/>
        <w:tblLayout w:type="fixed"/>
        <w:tblCellMar>
          <w:top w:w="28" w:type="dxa"/>
          <w:left w:w="28" w:type="dxa"/>
          <w:bottom w:w="28" w:type="dxa"/>
          <w:right w:w="28" w:type="dxa"/>
        </w:tblCellMar>
      </w:tblPr>
      <w:tblGrid>
        <w:gridCol w:w="188"/>
        <w:gridCol w:w="166"/>
        <w:gridCol w:w="167"/>
        <w:gridCol w:w="1039"/>
        <w:gridCol w:w="1039"/>
        <w:gridCol w:w="1477"/>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68"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266" descr=""/>
                          <pic:cNvPicPr>
                            <a:picLocks noChangeAspect="1" noChangeArrowheads="1"/>
                          </pic:cNvPicPr>
                        </pic:nvPicPr>
                        <pic:blipFill>
                          <a:blip r:embed="rId267"/>
                          <a:stretch>
                            <a:fillRect/>
                          </a:stretch>
                        </pic:blipFill>
                        <pic:spPr bwMode="auto">
                          <a:xfrm>
                            <a:off x="0" y="0"/>
                            <a:ext cx="228600" cy="180975"/>
                          </a:xfrm>
                          <a:prstGeom prst="rect">
                            <a:avLst/>
                          </a:prstGeom>
                        </pic:spPr>
                      </pic:pic>
                    </a:graphicData>
                  </a:graphic>
                </wp:inline>
              </w:drawing>
            </w:r>
            <w:r>
              <w:rPr>
                <w:color w:val="000000"/>
              </w:rPr>
              <w:t> </w:t>
            </w:r>
          </w:p>
        </w:tc>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General information about our annual meeting</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How to Revoke or Change Your Vote</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There are several ways to revoke or change your vote:</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Mail a revised proxy form to the Corporate Secretary of Kimberly-Clark (the form must be received before the meeting starts). Use the following address: 351 Phelps Drive, Irving, TX 75038</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Use the Internet voting website</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Use the telephone voting procedures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Attend the virtual meeting and vote in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Votes Required</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There must be a quorum to conduct business at the Annual Meeting, which is established by having a majority of the shares of our common stock present in person or represented by proxy. </w:t>
      </w:r>
    </w:p>
    <w:p>
      <w:pPr>
        <w:pStyle w:val="TextBody"/>
        <w:bidi w:val="0"/>
        <w:spacing w:lineRule="auto" w:line="312" w:before="120" w:after="120"/>
        <w:jc w:val="left"/>
        <w:rPr/>
      </w:pPr>
      <w:r>
        <w:rPr>
          <w:rFonts w:ascii="Lato;sans-serif" w:hAnsi="Lato;sans-serif"/>
          <w:b w:val="false"/>
          <w:i/>
          <w:color w:val="000000"/>
          <w:sz w:val="19"/>
        </w:rPr>
        <w:t>Election of Directors.</w:t>
      </w:r>
      <w:r>
        <w:rPr>
          <w:color w:val="000000"/>
        </w:rPr>
        <w:t xml:space="preserve"> </w:t>
      </w:r>
      <w:r>
        <w:rPr>
          <w:rFonts w:ascii="Lato;sans-serif" w:hAnsi="Lato;sans-serif"/>
          <w:b w:val="false"/>
          <w:color w:val="000000"/>
          <w:sz w:val="19"/>
        </w:rPr>
        <w:t>A director nominee will be elected if he or she receives a majority of the votes cast at the meeting in person or by proxy. If any nominee does not receive a majority of the votes cast, then that nominee will be subject to the Board’s policy regarding resignations by directors who do not receive a majority of “for” votes.</w:t>
      </w:r>
    </w:p>
    <w:p>
      <w:pPr>
        <w:pStyle w:val="TextBody"/>
        <w:bidi w:val="0"/>
        <w:spacing w:lineRule="auto" w:line="312" w:before="120" w:after="120"/>
        <w:jc w:val="left"/>
        <w:rPr/>
      </w:pPr>
      <w:r>
        <w:rPr>
          <w:rFonts w:ascii="Lato;sans-serif" w:hAnsi="Lato;sans-serif"/>
          <w:b w:val="false"/>
          <w:i/>
          <w:color w:val="000000"/>
          <w:sz w:val="19"/>
        </w:rPr>
        <w:t>Other Proposals or Matters.</w:t>
      </w:r>
      <w:r>
        <w:rPr>
          <w:color w:val="000000"/>
        </w:rPr>
        <w:t xml:space="preserve"> </w:t>
      </w:r>
      <w:r>
        <w:rPr>
          <w:rFonts w:ascii="Lato;sans-serif" w:hAnsi="Lato;sans-serif"/>
          <w:b w:val="false"/>
          <w:color w:val="000000"/>
          <w:sz w:val="19"/>
        </w:rPr>
        <w:t>Approval requires the affirmative vote of a majority of shares that are present at the Annual Meeting in person or by proxy and are entitled to vote on the proposal or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How Abstentions Will Be Counted</w:t>
      </w:r>
    </w:p>
    <w:p>
      <w:pPr>
        <w:pStyle w:val="TextBody"/>
        <w:bidi w:val="0"/>
        <w:spacing w:lineRule="auto" w:line="312" w:before="120" w:after="120"/>
        <w:jc w:val="left"/>
        <w:rPr/>
      </w:pPr>
      <w:r>
        <w:rPr>
          <w:rFonts w:ascii="Lato;sans-serif" w:hAnsi="Lato;sans-serif"/>
          <w:b w:val="false"/>
          <w:i/>
          <w:color w:val="000000"/>
          <w:sz w:val="19"/>
        </w:rPr>
        <w:t>Election of Directors.</w:t>
      </w:r>
      <w:r>
        <w:rPr>
          <w:color w:val="000000"/>
        </w:rPr>
        <w:t xml:space="preserve"> </w:t>
      </w:r>
      <w:r>
        <w:rPr>
          <w:rFonts w:ascii="Lato;sans-serif" w:hAnsi="Lato;sans-serif"/>
          <w:b w:val="false"/>
          <w:color w:val="000000"/>
          <w:sz w:val="19"/>
        </w:rPr>
        <w:t>Abstentions will have no impact on the outcome of the vote. They will not be counted for the purpose of determining the number of votes cast or as votes “for” or “against” a nominee.</w:t>
      </w:r>
    </w:p>
    <w:p>
      <w:pPr>
        <w:pStyle w:val="TextBody"/>
        <w:bidi w:val="0"/>
        <w:spacing w:lineRule="auto" w:line="312" w:before="120" w:after="120"/>
        <w:jc w:val="left"/>
        <w:rPr/>
      </w:pPr>
      <w:r>
        <w:rPr>
          <w:rFonts w:ascii="Lato;sans-serif" w:hAnsi="Lato;sans-serif"/>
          <w:b w:val="false"/>
          <w:i/>
          <w:color w:val="000000"/>
          <w:sz w:val="19"/>
        </w:rPr>
        <w:t>Other Proposals.</w:t>
      </w:r>
      <w:r>
        <w:rPr>
          <w:color w:val="000000"/>
        </w:rPr>
        <w:t xml:space="preserve"> </w:t>
      </w:r>
      <w:r>
        <w:rPr>
          <w:rFonts w:ascii="Lato;sans-serif" w:hAnsi="Lato;sans-serif"/>
          <w:b w:val="false"/>
          <w:color w:val="000000"/>
          <w:sz w:val="19"/>
        </w:rPr>
        <w:t>Abstentions will be counted:</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as present in determining whether we have a quorum</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in determining the total number of shares entitled to vote on a proposal</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as votes against a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Effect of Not Instructing Your Broker</w:t>
      </w:r>
    </w:p>
    <w:p>
      <w:pPr>
        <w:pStyle w:val="TextBody"/>
        <w:bidi w:val="0"/>
        <w:spacing w:lineRule="auto" w:line="276" w:before="0" w:after="0"/>
        <w:jc w:val="left"/>
        <w:rPr/>
      </w:pPr>
      <w:r>
        <w:rPr>
          <w:rFonts w:ascii="Lato;sans-serif" w:hAnsi="Lato;sans-serif"/>
          <w:b w:val="false"/>
          <w:i/>
          <w:color w:val="000000"/>
          <w:sz w:val="19"/>
        </w:rPr>
        <w:t>Routine Matters.</w:t>
      </w:r>
      <w:r>
        <w:rPr>
          <w:color w:val="000000"/>
        </w:rPr>
        <w:t> </w:t>
      </w:r>
      <w:r>
        <w:rPr>
          <w:rFonts w:ascii="Lato;sans-serif" w:hAnsi="Lato;sans-serif"/>
          <w:b w:val="false"/>
          <w:color w:val="000000"/>
          <w:sz w:val="19"/>
        </w:rPr>
        <w:t>If your shares are held through a broker and you do not instruct the broker on how to vote your shares, your broker may choose to leave your shares unvoted or to vote your shares on routine matters. Note that whether a proposal is considered routine or non-routine is subject to NYSE rules and final determination by the stock exchange. Even with respect to routine matters, some brokers are choosing not to exercise discretionary voting authority. As a result, we urge you to direct your broker how to vote your shares on all proposals to ensure that your vote is counted.</w:t>
      </w:r>
    </w:p>
    <w:p>
      <w:pPr>
        <w:pStyle w:val="TextBody"/>
        <w:bidi w:val="0"/>
        <w:spacing w:lineRule="auto" w:line="312" w:before="120" w:after="120"/>
        <w:jc w:val="left"/>
        <w:rPr/>
      </w:pPr>
      <w:r>
        <w:rPr>
          <w:rFonts w:ascii="Lato;sans-serif" w:hAnsi="Lato;sans-serif"/>
          <w:b w:val="false"/>
          <w:i/>
          <w:color w:val="000000"/>
          <w:sz w:val="19"/>
        </w:rPr>
        <w:t>Non-Routine Matters.</w:t>
      </w:r>
      <w:r>
        <w:rPr>
          <w:color w:val="000000"/>
        </w:rPr>
        <w:t> </w:t>
      </w:r>
      <w:r>
        <w:rPr>
          <w:rFonts w:ascii="Lato;sans-serif" w:hAnsi="Lato;sans-serif"/>
          <w:b w:val="false"/>
          <w:color w:val="000000"/>
          <w:sz w:val="19"/>
        </w:rPr>
        <w:t>Without instructions, your broker cannot vote your shares on non-routine matters, resulting in what are known as “broker non-votes.” Broker non-votes will not be considered present or entitled to vote on non-routine matters and will also not be counted for the purpose of determining the number of votes cast on these proposals.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Direct Stock Purchase and Dividend Reinvestment Plan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If you participate in our Direct Stock Purchase and Dividend Reinvestment Plan, you will receive a proxy form that represents the number of full shares in your plan account plus any other shares registered in your name. There are no special instructions for voting shares held in the plan; simply use the normal voting methods described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629920"/>
                <wp:effectExtent l="0" t="0" r="0" b="0"/>
                <wp:wrapNone/>
                <wp:docPr id="369" name="Frame10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97</w:t>
                            </w:r>
                          </w:p>
                        </w:tc>
                      </w:tr>
                    </w:tbl>
                    <w:p>
                      <w:pPr>
                        <w:pStyle w:val="TextBody"/>
                        <w:bidi w:val="0"/>
                        <w:spacing w:before="0" w:after="283"/>
                        <w:jc w:val="left"/>
                        <w:rPr/>
                      </w:pPr>
                      <w:r>
                        <w:rPr/>
                      </w:r>
                    </w:p>
                  </w:txbxContent>
                </v:textbox>
                <w10:wrap type="none"/>
              </v:rect>
            </w:pict>
          </mc:Fallback>
        </mc:AlternateContent>
      </w:r>
    </w:p>
    <w:tbl>
      <w:tblPr>
        <w:tblW w:w="4076" w:type="dxa"/>
        <w:jc w:val="left"/>
        <w:tblInd w:w="0" w:type="dxa"/>
        <w:tblLayout w:type="fixed"/>
        <w:tblCellMar>
          <w:top w:w="28" w:type="dxa"/>
          <w:left w:w="28" w:type="dxa"/>
          <w:bottom w:w="28" w:type="dxa"/>
          <w:right w:w="28" w:type="dxa"/>
        </w:tblCellMar>
      </w:tblPr>
      <w:tblGrid>
        <w:gridCol w:w="1275"/>
        <w:gridCol w:w="1123"/>
        <w:gridCol w:w="1127"/>
        <w:gridCol w:w="161"/>
        <w:gridCol w:w="161"/>
        <w:gridCol w:w="229"/>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4"/>
              </w:rPr>
            </w:pPr>
            <w:r>
              <w:rPr>
                <w:rFonts w:ascii="Lato Bold;sans-serif" w:hAnsi="Lato Bold;sans-serif"/>
                <w:b/>
                <w:color w:val="000000"/>
                <w:sz w:val="14"/>
              </w:rPr>
              <w:t>General information about our annual meeting</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70"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67" descr=""/>
                          <pic:cNvPicPr>
                            <a:picLocks noChangeAspect="1" noChangeArrowheads="1"/>
                          </pic:cNvPicPr>
                        </pic:nvPicPr>
                        <pic:blipFill>
                          <a:blip r:embed="rId268"/>
                          <a:stretch>
                            <a:fillRect/>
                          </a:stretch>
                        </pic:blipFill>
                        <pic:spPr bwMode="auto">
                          <a:xfrm>
                            <a:off x="0" y="0"/>
                            <a:ext cx="228600" cy="180975"/>
                          </a:xfrm>
                          <a:prstGeom prst="rect">
                            <a:avLst/>
                          </a:prstGeom>
                        </pic:spPr>
                      </pic:pic>
                    </a:graphicData>
                  </a:graphic>
                </wp:inline>
              </w:drawing>
            </w:r>
            <w:r>
              <w:rPr>
                <w:color w:val="000000"/>
              </w:rPr>
              <w:t> </w:t>
            </w:r>
          </w:p>
        </w:tc>
      </w:tr>
      <w:tr>
        <w:trPr/>
        <w:tc>
          <w:tcPr>
            <w:tcW w:w="35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Employee Benefit Plans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We are also sending or otherwise making this proxy statement and voting materials available to participants who hold Kimberly-Clark stock through any of our employee benefit and stock purchase plans. The trustee of each plan will vote whole shares of stock attributable to each participant’s interest in the plans in accordance with the participant’s directions. If a participant gives no directions, the plan committee will direct the voting of his or her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Attending the Virtual Annual Meeting</w:t>
      </w:r>
    </w:p>
    <w:p>
      <w:pPr>
        <w:pStyle w:val="TextBody"/>
        <w:bidi w:val="0"/>
        <w:spacing w:lineRule="auto" w:line="312" w:before="120" w:after="120"/>
        <w:jc w:val="left"/>
        <w:rPr/>
      </w:pPr>
      <w:r>
        <w:rPr>
          <w:rFonts w:ascii="Lato;sans-serif" w:hAnsi="Lato;sans-serif"/>
          <w:b w:val="false"/>
          <w:color w:val="000000"/>
          <w:sz w:val="19"/>
        </w:rPr>
        <w:t xml:space="preserve">The 2025 Annual Meeting will be hosted as an audio webcast at </w:t>
      </w:r>
      <w:r>
        <w:rPr>
          <w:rFonts w:ascii="Lato;sans-serif" w:hAnsi="Lato;sans-serif"/>
          <w:b/>
          <w:color w:val="000000"/>
          <w:sz w:val="19"/>
        </w:rPr>
        <w:t>https://meetnow.global/MGLG9NG</w:t>
      </w:r>
      <w:r>
        <w:rPr>
          <w:rFonts w:ascii="Lato;sans-serif" w:hAnsi="Lato;sans-serif"/>
          <w:b w:val="false"/>
          <w:color w:val="000000"/>
          <w:sz w:val="19"/>
        </w:rPr>
        <w:t xml:space="preserve">. The meeting will begin promptly at 8:00 a.m. Central Time, and online access will open 30 minutes prior to allow time to login.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To login to and attend the meeting you have two options: join as a “Stockholder” or join as a “Guest.” Joining as a “Stockholder” will enable you to vote your shares at the meeting and ask questions. To join as a “Stockholder” you will be required to have some additional information, as described below. Alternatively, you can join as a “Guest” in listen-only mode.</w:t>
      </w:r>
    </w:p>
    <w:p>
      <w:pPr>
        <w:pStyle w:val="TextBody"/>
        <w:bidi w:val="0"/>
        <w:spacing w:lineRule="auto" w:line="312" w:before="120" w:after="120"/>
        <w:ind w:left="0" w:right="0" w:hanging="216"/>
        <w:jc w:val="left"/>
        <w:rPr/>
      </w:pPr>
      <w:r>
        <w:rPr>
          <w:color w:val="0046C8"/>
        </w:rPr>
        <w:t>•</w:t>
      </w:r>
      <w:r>
        <w:rPr>
          <w:rFonts w:ascii="Lato Bold;sans-serif" w:hAnsi="Lato Bold;sans-serif"/>
          <w:b/>
          <w:color w:val="000000"/>
          <w:sz w:val="19"/>
        </w:rPr>
        <w:t>If you hold shares through our transfer agent, Computershare</w:t>
      </w:r>
      <w:r>
        <w:rPr>
          <w:rFonts w:ascii="Lato;sans-serif" w:hAnsi="Lato;sans-serif"/>
          <w:b w:val="false"/>
          <w:color w:val="000000"/>
          <w:sz w:val="19"/>
        </w:rPr>
        <w:t xml:space="preserve">, you do not need to preregister. To join the meeting as a “Stockholder,” use the annual meeting 15-digit control number listed on the proxy card or notice you previously received or in the email you received with your voting instructions. </w:t>
      </w:r>
    </w:p>
    <w:p>
      <w:pPr>
        <w:pStyle w:val="TextBody"/>
        <w:bidi w:val="0"/>
        <w:spacing w:lineRule="auto" w:line="312" w:before="120" w:after="120"/>
        <w:ind w:left="0" w:right="0" w:hanging="216"/>
        <w:jc w:val="left"/>
        <w:rPr/>
      </w:pPr>
      <w:r>
        <w:rPr>
          <w:color w:val="0046C8"/>
        </w:rPr>
        <w:t>•</w:t>
      </w:r>
      <w:r>
        <w:rPr>
          <w:rFonts w:ascii="Lato Bold;sans-serif" w:hAnsi="Lato Bold;sans-serif"/>
          <w:b/>
          <w:color w:val="000000"/>
          <w:sz w:val="19"/>
        </w:rPr>
        <w:t>If you hold your shares through a broker, bank or other intermediary</w:t>
      </w:r>
      <w:r>
        <w:rPr>
          <w:rFonts w:ascii="Lato;sans-serif" w:hAnsi="Lato;sans-serif"/>
          <w:b w:val="false"/>
          <w:color w:val="000000"/>
          <w:sz w:val="19"/>
        </w:rPr>
        <w:t>, and want to join the meeting as a “Stockholder” you have two options.</w:t>
      </w:r>
    </w:p>
    <w:p>
      <w:pPr>
        <w:pStyle w:val="TextBody"/>
        <w:bidi w:val="0"/>
        <w:spacing w:lineRule="auto" w:line="312" w:before="120" w:after="120"/>
        <w:jc w:val="left"/>
        <w:rPr/>
      </w:pPr>
      <w:r>
        <w:rPr>
          <w:rFonts w:ascii="Lato;sans-serif" w:hAnsi="Lato;sans-serif"/>
          <w:b w:val="false"/>
          <w:i/>
          <w:color w:val="000000"/>
          <w:sz w:val="19"/>
        </w:rPr>
        <w:t>Registration at the Meeting.</w:t>
      </w:r>
      <w:r>
        <w:rPr>
          <w:color w:val="000000"/>
        </w:rPr>
        <w:t xml:space="preserve"> </w:t>
      </w:r>
      <w:r>
        <w:rPr>
          <w:rFonts w:ascii="Lato;sans-serif" w:hAnsi="Lato;sans-serif"/>
          <w:b w:val="false"/>
          <w:color w:val="000000"/>
          <w:sz w:val="19"/>
        </w:rPr>
        <w:t>You may not need to pre-register with Computershare as further described below and may, instead, be able to use the control number received with your voting instruction form from your bank, broker or other intermediary.</w:t>
      </w:r>
      <w:r>
        <w:rPr>
          <w:color w:val="000000"/>
        </w:rPr>
        <w:t xml:space="preserve"> </w:t>
      </w:r>
      <w:r>
        <w:rPr>
          <w:rFonts w:ascii="Lato Bold;sans-serif" w:hAnsi="Lato Bold;sans-serif"/>
          <w:b/>
          <w:color w:val="000000"/>
          <w:sz w:val="19"/>
        </w:rPr>
        <w:t>Please note, however, that this option is provided as a convenience to beneficial owners only, and there is no guarantee this option will be available to you.</w:t>
      </w:r>
      <w:r>
        <w:rPr>
          <w:color w:val="000000"/>
        </w:rPr>
        <w:t xml:space="preserve"> </w:t>
      </w:r>
      <w:r>
        <w:rPr>
          <w:rFonts w:ascii="Lato;sans-serif" w:hAnsi="Lato;sans-serif"/>
          <w:b w:val="false"/>
          <w:color w:val="000000"/>
          <w:sz w:val="19"/>
        </w:rPr>
        <w:t xml:space="preserve">To attend the Annual Meeting, visit the Annual Meeting website at </w:t>
      </w:r>
      <w:r>
        <w:rPr>
          <w:rFonts w:ascii="Lato;sans-serif" w:hAnsi="Lato;sans-serif"/>
          <w:b/>
          <w:color w:val="000000"/>
          <w:sz w:val="19"/>
        </w:rPr>
        <w:t>https://meetnow.global/MGLG9NG</w:t>
      </w:r>
      <w:r>
        <w:rPr>
          <w:color w:val="000000"/>
        </w:rPr>
        <w:t xml:space="preserve"> </w:t>
      </w:r>
      <w:r>
        <w:rPr>
          <w:rFonts w:ascii="Lato;sans-serif" w:hAnsi="Lato;sans-serif"/>
          <w:b w:val="false"/>
          <w:color w:val="000000"/>
          <w:sz w:val="19"/>
        </w:rPr>
        <w:t>and enter the control number received with your voting instruction form from your bank, broker or other holder of record.</w:t>
      </w:r>
      <w:r>
        <w:rPr>
          <w:color w:val="000000"/>
        </w:rPr>
        <w:t xml:space="preserve"> </w:t>
      </w:r>
      <w:r>
        <w:rPr>
          <w:rFonts w:ascii="Lato Bold;sans-serif" w:hAnsi="Lato Bold;sans-serif"/>
          <w:b/>
          <w:color w:val="000000"/>
          <w:sz w:val="19"/>
        </w:rPr>
        <w:t>We encourage you to access the Annual Meeting website 15 minutes prior to the Annual Meeting start time on the meeting date, to confirm that you are able to attend the Annual Meeting without pre-registering with Computershare.</w:t>
      </w:r>
    </w:p>
    <w:p>
      <w:pPr>
        <w:pStyle w:val="TextBody"/>
        <w:bidi w:val="0"/>
        <w:spacing w:lineRule="auto" w:line="312" w:before="120" w:after="120"/>
        <w:jc w:val="left"/>
        <w:rPr/>
      </w:pPr>
      <w:r>
        <w:rPr>
          <w:rFonts w:ascii="Lato;sans-serif" w:hAnsi="Lato;sans-serif"/>
          <w:b w:val="false"/>
          <w:i/>
          <w:color w:val="000000"/>
          <w:sz w:val="19"/>
        </w:rPr>
        <w:t>Registration in Advance.</w:t>
      </w:r>
      <w:r>
        <w:rPr>
          <w:color w:val="000000"/>
        </w:rPr>
        <w:t xml:space="preserve"> </w:t>
      </w:r>
      <w:r>
        <w:rPr>
          <w:rFonts w:ascii="Lato;sans-serif" w:hAnsi="Lato;sans-serif"/>
          <w:b w:val="false"/>
          <w:color w:val="000000"/>
          <w:sz w:val="19"/>
        </w:rPr>
        <w:t xml:space="preserve">You may register in advance by 4:00 p.m. Central Time on April 24, 2025. To preregister, you must send an email to </w:t>
      </w:r>
      <w:r>
        <w:rPr>
          <w:rFonts w:ascii="Lato;sans-serif" w:hAnsi="Lato;sans-serif"/>
          <w:b/>
          <w:color w:val="000000"/>
          <w:sz w:val="19"/>
        </w:rPr>
        <w:t>legalproxy@computershare.com</w:t>
      </w:r>
      <w:r>
        <w:rPr>
          <w:color w:val="000000"/>
        </w:rPr>
        <w:t xml:space="preserve"> </w:t>
      </w:r>
      <w:r>
        <w:rPr>
          <w:rFonts w:ascii="Lato;sans-serif" w:hAnsi="Lato;sans-serif"/>
          <w:b w:val="false"/>
          <w:color w:val="000000"/>
          <w:sz w:val="19"/>
        </w:rPr>
        <w:t>and include your mailing address and an image of a legal proxy in your name from the broker, bank or other intermediary that holds your shares. In order to obtain a legal proxy, you should as soon as possible (1) log into the voting site listed on the voting instruction form you received and click on “Vote in person at the meeting” or (2) request one through your bank or broker. After you transmit the image of the legal proxy, you will receive an annual meeting control number from our virtual meeting provider to use when joining the meeting as a “Stockholder.” Note that once you request a legal proxy you will need the new virtual meeting control number to vote your shares at the meeting and your original number referenced above in “Registration at the Meeting” will no longer enable you to vote.</w:t>
      </w:r>
    </w:p>
    <w:p>
      <w:pPr>
        <w:pStyle w:val="TextBody"/>
        <w:bidi w:val="0"/>
        <w:spacing w:lineRule="auto" w:line="312" w:before="120" w:after="120"/>
        <w:jc w:val="left"/>
        <w:rPr/>
      </w:pPr>
      <w:r>
        <w:rPr>
          <w:rFonts w:ascii="Lato;sans-serif" w:hAnsi="Lato;sans-serif"/>
          <w:b w:val="false"/>
          <w:color w:val="000000"/>
          <w:sz w:val="19"/>
        </w:rPr>
        <w:t xml:space="preserve">In any event, please go to </w:t>
      </w:r>
      <w:r>
        <w:rPr>
          <w:rFonts w:ascii="Lato;sans-serif" w:hAnsi="Lato;sans-serif"/>
          <w:b/>
          <w:color w:val="000000"/>
          <w:sz w:val="19"/>
        </w:rPr>
        <w:t>https://meetnow.global/MGLG9NG</w:t>
      </w:r>
      <w:r>
        <w:rPr>
          <w:color w:val="000000"/>
        </w:rPr>
        <w:t xml:space="preserve"> </w:t>
      </w:r>
      <w:r>
        <w:rPr>
          <w:rFonts w:ascii="Lato;sans-serif" w:hAnsi="Lato;sans-serif"/>
          <w:b w:val="false"/>
          <w:color w:val="000000"/>
          <w:sz w:val="19"/>
        </w:rPr>
        <w:t>for more information.</w:t>
      </w:r>
    </w:p>
    <w:p>
      <w:pPr>
        <w:pStyle w:val="TextBody"/>
        <w:bidi w:val="0"/>
        <w:spacing w:lineRule="auto" w:line="312" w:before="120" w:after="120"/>
        <w:jc w:val="left"/>
        <w:rPr/>
      </w:pPr>
      <w:r>
        <w:rPr>
          <w:rFonts w:ascii="Lato;sans-serif" w:hAnsi="Lato;sans-serif"/>
          <w:b w:val="false"/>
          <w:i/>
          <w:color w:val="000000"/>
          <w:sz w:val="19"/>
        </w:rPr>
        <w:t>Stockholder List.</w:t>
      </w:r>
      <w:r>
        <w:rPr>
          <w:color w:val="000000"/>
        </w:rPr>
        <w:t xml:space="preserve"> </w:t>
      </w:r>
      <w:r>
        <w:rPr>
          <w:rFonts w:ascii="Lato;sans-serif" w:hAnsi="Lato;sans-serif"/>
          <w:b w:val="false"/>
          <w:color w:val="000000"/>
          <w:sz w:val="19"/>
        </w:rPr>
        <w:t>A list of record date stockholders will be available electronically at the meeting website during the annual meeting to participants who join as a “Stockholder.” In addition, the list will be available for 10 days prior to the meeting for any purpose germane to the meeting, from Monday to Friday between the hours of 8:00 a.m. and 5:00 p.m Central time., at our principal executive offices at 351 Phelps Dr., Irving, TX 75038 by contacting our Corporate Secretary.</w:t>
      </w:r>
    </w:p>
    <w:p>
      <w:pPr>
        <w:pStyle w:val="TextBody"/>
        <w:bidi w:val="0"/>
        <w:spacing w:lineRule="auto" w:line="312" w:before="120" w:after="120"/>
        <w:jc w:val="left"/>
        <w:rPr/>
      </w:pPr>
      <w:r>
        <w:rPr>
          <w:rFonts w:ascii="Lato;sans-serif" w:hAnsi="Lato;sans-serif"/>
          <w:b w:val="false"/>
          <w:i/>
          <w:color w:val="000000"/>
          <w:sz w:val="19"/>
        </w:rPr>
        <w:t>Technical Assistance and Questions.</w:t>
      </w:r>
      <w:r>
        <w:rPr>
          <w:color w:val="000000"/>
        </w:rPr>
        <w:t xml:space="preserve"> </w:t>
      </w:r>
      <w:r>
        <w:rPr>
          <w:rFonts w:ascii="Lato;sans-serif" w:hAnsi="Lato;sans-serif"/>
          <w:b w:val="false"/>
          <w:color w:val="000000"/>
          <w:sz w:val="19"/>
        </w:rPr>
        <w:t xml:space="preserve">The virtual meeting platform is supported across multiple browsers (MS Edge, Firefox, Chrome and Safari) and devices (desktops, laptops, tablets, and cell phones) running the most up-to-date version of applicable software and plugins. Participants should ensure that they have a strong WiFi connection wherever they intend to participate in the meeting. We encourage you to access the meeting prior to the start time. For further assistance should you need it you may call 1-888-724-2416. For additional shareholder support, contact Stockholder Services by e-mail at </w:t>
      </w:r>
      <w:r>
        <w:rPr>
          <w:rFonts w:ascii="Lato;sans-serif" w:hAnsi="Lato;sans-serif"/>
          <w:b/>
          <w:color w:val="000000"/>
          <w:sz w:val="19"/>
        </w:rPr>
        <w:t>stockholders@kcc.com</w:t>
      </w:r>
      <w:r>
        <w:rPr>
          <w:rFonts w:ascii="Lato;sans-serif" w:hAnsi="Lato;sans-serif"/>
          <w:b w:val="false"/>
          <w:color w:val="000000"/>
          <w:sz w:val="19"/>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629920"/>
                <wp:effectExtent l="0" t="0" r="0" b="0"/>
                <wp:wrapNone/>
                <wp:docPr id="371" name="Frame10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98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left"/>
                        <w:tblInd w:w="0" w:type="dxa"/>
                        <w:tblLayout w:type="fixed"/>
                        <w:tblCellMar>
                          <w:top w:w="28" w:type="dxa"/>
                          <w:left w:w="28" w:type="dxa"/>
                          <w:bottom w:w="28" w:type="dxa"/>
                          <w:right w:w="28" w:type="dxa"/>
                        </w:tblCellMar>
                      </w:tblPr>
                      <w:tblGrid>
                        <w:gridCol w:w="130"/>
                        <w:gridCol w:w="115"/>
                        <w:gridCol w:w="116"/>
                        <w:gridCol w:w="645"/>
                        <w:gridCol w:w="645"/>
                        <w:gridCol w:w="91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98</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4076" w:type="dxa"/>
        <w:jc w:val="left"/>
        <w:tblInd w:w="0" w:type="dxa"/>
        <w:tblLayout w:type="fixed"/>
        <w:tblCellMar>
          <w:top w:w="28" w:type="dxa"/>
          <w:left w:w="28" w:type="dxa"/>
          <w:bottom w:w="28" w:type="dxa"/>
          <w:right w:w="28" w:type="dxa"/>
        </w:tblCellMar>
      </w:tblPr>
      <w:tblGrid>
        <w:gridCol w:w="188"/>
        <w:gridCol w:w="166"/>
        <w:gridCol w:w="167"/>
        <w:gridCol w:w="1039"/>
        <w:gridCol w:w="1039"/>
        <w:gridCol w:w="1477"/>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72"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268" descr=""/>
                          <pic:cNvPicPr>
                            <a:picLocks noChangeAspect="1" noChangeArrowheads="1"/>
                          </pic:cNvPicPr>
                        </pic:nvPicPr>
                        <pic:blipFill>
                          <a:blip r:embed="rId269"/>
                          <a:stretch>
                            <a:fillRect/>
                          </a:stretch>
                        </pic:blipFill>
                        <pic:spPr bwMode="auto">
                          <a:xfrm>
                            <a:off x="0" y="0"/>
                            <a:ext cx="228600" cy="180975"/>
                          </a:xfrm>
                          <a:prstGeom prst="rect">
                            <a:avLst/>
                          </a:prstGeom>
                        </pic:spPr>
                      </pic:pic>
                    </a:graphicData>
                  </a:graphic>
                </wp:inline>
              </w:drawing>
            </w:r>
            <w:r>
              <w:rPr>
                <w:color w:val="000000"/>
              </w:rPr>
              <w:t> </w:t>
            </w:r>
          </w:p>
        </w:tc>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General information about our annual meeting</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Costs of Solicitation</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Kimberly-Clark will bear all costs of this proxy solicitation, including the cost of preparing, printing and delivering materials, the cost of the proxy solicitation, and the expenses of brokers, fiduciaries and other nominees who forward proxy materials to stockholders. In addition to mail and electronic means, our employees may solicit proxies by telephone or otherwise. We have retained D. F. King &amp; Co., Inc. to aid in the solicitation at a cost of approximately $23,100 plus reimbursement of out-of-pocket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Stockholders Sharing the Same Household</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Stockholders who have the same address and last name as of the record date and have not previously requested electronic delivery of proxy materials may receive their voting materials in one of two ways. They may receive a single proxy package containing one annual report, one proxy statement, and multiple proxy cards for each stockholder. Or they may receive one envelope containing a Notice of Internet Availability of Proxy Materials for each stockholder. This “householding” procedure helps us reduce printing and postage costs associated with providing our proxy materials and is consistent with our sustainability efforts. </w:t>
      </w:r>
    </w:p>
    <w:p>
      <w:pPr>
        <w:pStyle w:val="TextBody"/>
        <w:bidi w:val="0"/>
        <w:spacing w:lineRule="auto" w:line="312" w:before="120" w:after="120"/>
        <w:jc w:val="left"/>
        <w:rPr/>
      </w:pPr>
      <w:r>
        <w:rPr>
          <w:rFonts w:ascii="Lato;sans-serif" w:hAnsi="Lato;sans-serif"/>
          <w:b w:val="false"/>
          <w:color w:val="000000"/>
          <w:sz w:val="19"/>
        </w:rPr>
        <w:t xml:space="preserve">If you reside in the same household with another stockholder with the same last name and would like us to mail proxy-related materials to you separately in the future, or are receiving multiple copies of materials and wish to receive only one set of proxy-related materials, please contact Stockholder Services by mail at P.O. Box 619100, Dallas, Texas 75261-9100, by telephone at (800) 639-1352 or by e-mail at </w:t>
      </w:r>
      <w:r>
        <w:rPr>
          <w:rFonts w:ascii="Lato;sans-serif" w:hAnsi="Lato;sans-serif"/>
          <w:b/>
          <w:color w:val="000000"/>
          <w:sz w:val="19"/>
        </w:rPr>
        <w:t>stockholders@kcc.com</w:t>
      </w:r>
      <w:r>
        <w:rPr>
          <w:rFonts w:ascii="Lato;sans-serif" w:hAnsi="Lato;sans-serif"/>
          <w:b w:val="false"/>
          <w:color w:val="000000"/>
          <w:sz w:val="19"/>
        </w:rPr>
        <w: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Beneficial stockholders can request information about householding from their banks, brokers, or other such holders of record.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Stockholder Proposals for Inclusion in Next Year’s Proxy Statement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Stockholders who, in accordance with SEC Rule 14a-8, wish to present proposals for inclusion in our proxy statement and form of proxy for the 2026 Annual Meeting of Stockholders must submit their proposals to the Corporate Secretary, Kimberly-Clark Corporation, P.O. Box 619100, Dallas, Texas 75261-9100, so that they are received at this address no later than November 10, 2025. Upon receipt of a proposal, we will determine whether or not to include the proposal in the proxy statement and form of proxy in accordance with applicable law. We suggest that proposals be forwarded by certified mail, return receipt requested.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629920"/>
                <wp:effectExtent l="0" t="0" r="0" b="0"/>
                <wp:wrapNone/>
                <wp:docPr id="373" name="Frame10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566" w:type="dxa"/>
                        <w:jc w:val="right"/>
                        <w:tblInd w:w="0" w:type="dxa"/>
                        <w:tblLayout w:type="fixed"/>
                        <w:tblCellMar>
                          <w:top w:w="28" w:type="dxa"/>
                          <w:left w:w="28" w:type="dxa"/>
                          <w:bottom w:w="28" w:type="dxa"/>
                          <w:right w:w="28" w:type="dxa"/>
                        </w:tblCellMar>
                      </w:tblPr>
                      <w:tblGrid>
                        <w:gridCol w:w="787"/>
                        <w:gridCol w:w="692"/>
                        <w:gridCol w:w="696"/>
                        <w:gridCol w:w="114"/>
                        <w:gridCol w:w="114"/>
                        <w:gridCol w:w="16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99</w:t>
                            </w:r>
                          </w:p>
                        </w:tc>
                      </w:tr>
                    </w:tbl>
                    <w:p>
                      <w:pPr>
                        <w:pStyle w:val="TextBody"/>
                        <w:bidi w:val="0"/>
                        <w:spacing w:before="0" w:after="283"/>
                        <w:jc w:val="left"/>
                        <w:rPr/>
                      </w:pPr>
                      <w:r>
                        <w:rPr/>
                      </w:r>
                    </w:p>
                  </w:txbxContent>
                </v:textbox>
                <w10:wrap type="none"/>
              </v:rect>
            </w:pict>
          </mc:Fallback>
        </mc:AlternateContent>
      </w:r>
    </w:p>
    <w:tbl>
      <w:tblPr>
        <w:tblW w:w="4076" w:type="dxa"/>
        <w:jc w:val="left"/>
        <w:tblInd w:w="0" w:type="dxa"/>
        <w:tblLayout w:type="fixed"/>
        <w:tblCellMar>
          <w:top w:w="28" w:type="dxa"/>
          <w:left w:w="28" w:type="dxa"/>
          <w:bottom w:w="28" w:type="dxa"/>
          <w:right w:w="28" w:type="dxa"/>
        </w:tblCellMar>
      </w:tblPr>
      <w:tblGrid>
        <w:gridCol w:w="1275"/>
        <w:gridCol w:w="1123"/>
        <w:gridCol w:w="1127"/>
        <w:gridCol w:w="161"/>
        <w:gridCol w:w="161"/>
        <w:gridCol w:w="229"/>
      </w:tblGrid>
      <w:tr>
        <w:trPr/>
        <w:tc>
          <w:tcPr>
            <w:tcW w:w="1275"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 Bold;sans-serif" w:hAnsi="Lato Bold;sans-serif"/>
                <w:b/>
                <w:color w:val="000000"/>
                <w:sz w:val="14"/>
              </w:rPr>
            </w:pPr>
            <w:r>
              <w:rPr>
                <w:rFonts w:ascii="Lato Bold;sans-serif" w:hAnsi="Lato Bold;sans-serif"/>
                <w:b/>
                <w:color w:val="000000"/>
                <w:sz w:val="14"/>
              </w:rPr>
              <w:t>General information about our annual meeting</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74"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69" descr=""/>
                          <pic:cNvPicPr>
                            <a:picLocks noChangeAspect="1" noChangeArrowheads="1"/>
                          </pic:cNvPicPr>
                        </pic:nvPicPr>
                        <pic:blipFill>
                          <a:blip r:embed="rId270"/>
                          <a:stretch>
                            <a:fillRect/>
                          </a:stretch>
                        </pic:blipFill>
                        <pic:spPr bwMode="auto">
                          <a:xfrm>
                            <a:off x="0" y="0"/>
                            <a:ext cx="228600" cy="180975"/>
                          </a:xfrm>
                          <a:prstGeom prst="rect">
                            <a:avLst/>
                          </a:prstGeom>
                        </pic:spPr>
                      </pic:pic>
                    </a:graphicData>
                  </a:graphic>
                </wp:inline>
              </w:drawing>
            </w:r>
            <w:r>
              <w:rPr>
                <w:color w:val="000000"/>
              </w:rPr>
              <w:t> </w:t>
            </w:r>
          </w:p>
        </w:tc>
      </w:tr>
      <w:tr>
        <w:trPr/>
        <w:tc>
          <w:tcPr>
            <w:tcW w:w="352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Stockholder Director Nominees for Inclusion in Next Year’s Proxy Statement</w:t>
      </w:r>
    </w:p>
    <w:p>
      <w:pPr>
        <w:pStyle w:val="TextBody"/>
        <w:bidi w:val="0"/>
        <w:spacing w:lineRule="auto" w:line="312" w:before="120" w:after="120"/>
        <w:jc w:val="left"/>
        <w:rPr/>
      </w:pPr>
      <w:r>
        <w:rPr>
          <w:rFonts w:ascii="Lato;sans-serif" w:hAnsi="Lato;sans-serif"/>
          <w:b w:val="false"/>
          <w:color w:val="000000"/>
          <w:sz w:val="19"/>
        </w:rPr>
        <w:t xml:space="preserve">Stockholders who wish to nominate one or more director candidates to be included in our proxy statement and form of proxy pursuant to By-Law 11A of our By-Laws (a “proxy access nomination”) for the 2026 Annual Meeting of Stockholders must submit written notice of the nomination to the Corporate Secretary so that it is received between October 11, 2025 and November 10, 2025, unless the 2026 Annual Meeting is held earlier than April 1, 2026 or later than June 30, 2026, in which case the notice must be received at least 120 days, but not more than 150 days, before the 2026 Annual Meeting of Stockholders (unless we give less than 120 days’ notice of the annual meeting date, in which case the notice must be received within 10 days after the meeting date is announced). Any notice of a proxy access nomination must comply with the requirements of our By-Laws, which may be found in the Investors section of our website at </w:t>
      </w:r>
      <w:r>
        <w:rPr>
          <w:rFonts w:ascii="Lato;sans-serif" w:hAnsi="Lato;sans-serif"/>
          <w:b/>
          <w:color w:val="000000"/>
          <w:sz w:val="19"/>
        </w:rPr>
        <w:t>www.kimberly-clark.com</w:t>
      </w:r>
      <w:r>
        <w:rPr>
          <w:rFonts w:ascii="Lato;sans-serif" w:hAnsi="Lato;sans-serif"/>
          <w:b w:val="false"/>
          <w:color w:val="000000"/>
          <w:sz w:val="19"/>
        </w:rPr>
        <w:t>, and any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Stockholder Director Nominees Not Included in Next Year’s Proxy Statement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Under our Certificate of Incorporation and By-Laws, a stockholder who wishes to nominate a candidate for election to the Board who is not intended to be included in our proxy statement for the 2026 Annual Meeting of Stockholders is required to give written notice to our Corporate Secretary. We must receive this notice at least 75 days, but not more than 100 days, before the 2026 Annual Meeting of Stockholders (unless we give less than 75 days’ notice of the annual meeting date, in which case the notice must be received within 10 days after the meeting date is announced). Any notice of a director nomination must comply with the requirements of our By-Laws and any applicable law. In addition, the deadline for a stockholder to provide notice to our Corporate Secretary under SEC Rule 14a-19, the SEC’s universal proxy rule, of the stockholder’s intent to solicit proxies in support of candidates submitted under our Certificate of Incorporation and By-Laws is March 2, 2026, unless the 2026 Annual Meeting is held earlier than April 1, 2026 or later than May 31, 2026, in which case the notice must be provided by the later of 60 days prior to the 2026 Annual Meeting of Stockholders or 10 days after the meeting date is announced. A nomination that does not comply with the requirements set forth in our Certificate of Incorporation and By-Laws will not be considered for presentation at the annual meeting, but will be considered by the Nominating and Corporate Governance Committee for any vacancies arising on the Board between annual meetings in accordance with the process described in “Proposal 1. Election of Directors - Process and Criteria for Nominating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80" w:after="120"/>
        <w:jc w:val="left"/>
        <w:rPr>
          <w:rFonts w:ascii="Lato;sans-serif" w:hAnsi="Lato;sans-serif"/>
          <w:b w:val="false"/>
          <w:color w:val="000000"/>
          <w:sz w:val="38"/>
        </w:rPr>
      </w:pPr>
      <w:r>
        <w:rPr>
          <w:rFonts w:ascii="Lato;sans-serif" w:hAnsi="Lato;sans-serif"/>
          <w:b w:val="false"/>
          <w:color w:val="000000"/>
          <w:sz w:val="38"/>
        </w:rPr>
        <w:t>Other Stockholder Proposals Not Included in Next Year’s Proxy Statement</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Under our Certificate of Incorporation and By-Laws, a stockholder who wishes to present a proposal at the 2026 Annual Meeting of Stockholders, other than a matter brought under SEC Rule 14a-8 or a director nomination, must submit written notice of the proposal to the Corporate Secretary. This notice must be received between January 21, 2026 and February 15, 2026, unless the 2026 Annual Meeting is held earlier than April 1, 2026 or later than June 30, 2026, in which case the notice must be received at least 75 days, but not more than 100 days, before the 2026 Annual Meeting of Stockholders (unless we give less than 75 days’ notice of the annual meeting date, in which case the notice must be received within 10 days after the meeting date is announced). Any notice of a proposal must comply with the requirements of our By-Laws and any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629920"/>
                <wp:effectExtent l="0" t="0" r="0" b="0"/>
                <wp:wrapNone/>
                <wp:docPr id="375" name="Frame10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686" w:type="dxa"/>
                              <w:jc w:val="left"/>
                              <w:tblInd w:w="0" w:type="dxa"/>
                              <w:tblLayout w:type="fixed"/>
                              <w:tblCellMar>
                                <w:top w:w="28" w:type="dxa"/>
                                <w:left w:w="28" w:type="dxa"/>
                                <w:bottom w:w="28" w:type="dxa"/>
                                <w:right w:w="28" w:type="dxa"/>
                              </w:tblCellMar>
                            </w:tblPr>
                            <w:tblGrid>
                              <w:gridCol w:w="174"/>
                              <w:gridCol w:w="153"/>
                              <w:gridCol w:w="154"/>
                              <w:gridCol w:w="645"/>
                              <w:gridCol w:w="645"/>
                              <w:gridCol w:w="91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100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686" w:type="dxa"/>
                        <w:jc w:val="left"/>
                        <w:tblInd w:w="0" w:type="dxa"/>
                        <w:tblLayout w:type="fixed"/>
                        <w:tblCellMar>
                          <w:top w:w="28" w:type="dxa"/>
                          <w:left w:w="28" w:type="dxa"/>
                          <w:bottom w:w="28" w:type="dxa"/>
                          <w:right w:w="28" w:type="dxa"/>
                        </w:tblCellMar>
                      </w:tblPr>
                      <w:tblGrid>
                        <w:gridCol w:w="174"/>
                        <w:gridCol w:w="153"/>
                        <w:gridCol w:w="154"/>
                        <w:gridCol w:w="645"/>
                        <w:gridCol w:w="645"/>
                        <w:gridCol w:w="91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 Bold;sans-serif" w:hAnsi="Lato Bold;sans-serif"/>
                                <w:b/>
                                <w:color w:val="616161"/>
                                <w:sz w:val="18"/>
                              </w:rPr>
                            </w:pPr>
                            <w:r>
                              <w:rPr>
                                <w:rFonts w:ascii="Lato Bold;sans-serif" w:hAnsi="Lato Bold;sans-serif"/>
                                <w:b/>
                                <w:color w:val="616161"/>
                                <w:sz w:val="18"/>
                              </w:rPr>
                              <w:t>100</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893" w:type="dxa"/>
        <w:jc w:val="left"/>
        <w:tblInd w:w="0" w:type="dxa"/>
        <w:tblLayout w:type="fixed"/>
        <w:tblCellMar>
          <w:top w:w="28" w:type="dxa"/>
          <w:left w:w="28" w:type="dxa"/>
          <w:bottom w:w="28" w:type="dxa"/>
          <w:right w:w="28" w:type="dxa"/>
        </w:tblCellMar>
      </w:tblPr>
      <w:tblGrid>
        <w:gridCol w:w="188"/>
        <w:gridCol w:w="166"/>
        <w:gridCol w:w="167"/>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76"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270" descr=""/>
                          <pic:cNvPicPr>
                            <a:picLocks noChangeAspect="1" noChangeArrowheads="1"/>
                          </pic:cNvPicPr>
                        </pic:nvPicPr>
                        <pic:blipFill>
                          <a:blip r:embed="rId271"/>
                          <a:stretch>
                            <a:fillRect/>
                          </a:stretch>
                        </pic:blipFill>
                        <pic:spPr bwMode="auto">
                          <a:xfrm>
                            <a:off x="0" y="0"/>
                            <a:ext cx="228600" cy="180975"/>
                          </a:xfrm>
                          <a:prstGeom prst="rect">
                            <a:avLst/>
                          </a:prstGeom>
                        </pic:spPr>
                      </pic:pic>
                    </a:graphicData>
                  </a:graphic>
                </wp:inline>
              </w:drawing>
            </w: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120"/>
        <w:jc w:val="left"/>
        <w:rPr>
          <w:rFonts w:ascii="Lato;sans-serif" w:hAnsi="Lato;sans-serif"/>
          <w:b w:val="false"/>
          <w:color w:val="0046C8"/>
          <w:sz w:val="48"/>
        </w:rPr>
      </w:pPr>
      <w:r>
        <w:rPr>
          <w:rFonts w:ascii="Lato;sans-serif" w:hAnsi="Lato;sans-serif"/>
          <w:b w:val="false"/>
          <w:color w:val="0046C8"/>
          <w:sz w:val="48"/>
        </w:rPr>
        <w:t>Other Matters to be Presented at the Annual Meeting</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Our management does not know of any other matters to be presented at the Annual Meeting. Should any other matter requiring a vote of the stockholders arise at the meeting, the persons named in the proxy will vote the proxies in accordance with their best judgment.</w:t>
      </w:r>
    </w:p>
    <w:tbl>
      <w:tblPr>
        <w:tblW w:w="10205" w:type="dxa"/>
        <w:jc w:val="left"/>
        <w:tblInd w:w="0" w:type="dxa"/>
        <w:tblLayout w:type="fixed"/>
        <w:tblCellMar>
          <w:top w:w="28" w:type="dxa"/>
          <w:left w:w="28" w:type="dxa"/>
          <w:bottom w:w="28" w:type="dxa"/>
          <w:right w:w="28" w:type="dxa"/>
        </w:tblCellMar>
      </w:tblPr>
      <w:tblGrid>
        <w:gridCol w:w="975"/>
        <w:gridCol w:w="858"/>
        <w:gridCol w:w="860"/>
        <w:gridCol w:w="2240"/>
        <w:gridCol w:w="2183"/>
        <w:gridCol w:w="3089"/>
      </w:tblGrid>
      <w:tr>
        <w:trPr/>
        <w:tc>
          <w:tcPr>
            <w:tcW w:w="97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By Order of the Board of Directors.</w:t>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2" w:type="dxa"/>
            <w:gridSpan w:val="3"/>
            <w:tcBorders/>
            <w:tcMar>
              <w:top w:w="0" w:type="dxa"/>
              <w:left w:w="0" w:type="dxa"/>
              <w:bottom w:w="0" w:type="dxa"/>
              <w:right w:w="0" w:type="dxa"/>
            </w:tcMar>
            <w:vAlign w:val="center"/>
          </w:tcPr>
          <w:p>
            <w:pPr>
              <w:pStyle w:val="TableContents"/>
              <w:bidi w:val="0"/>
              <w:spacing w:before="120" w:after="120"/>
              <w:jc w:val="left"/>
              <w:rPr/>
            </w:pPr>
            <w:r>
              <w:rPr/>
              <w:drawing>
                <wp:inline distT="0" distB="0" distL="0" distR="0">
                  <wp:extent cx="1066800" cy="581025"/>
                  <wp:effectExtent l="0" t="0" r="0" b="0"/>
                  <wp:docPr id="377"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271" descr=""/>
                          <pic:cNvPicPr>
                            <a:picLocks noChangeAspect="1" noChangeArrowheads="1"/>
                          </pic:cNvPicPr>
                        </pic:nvPicPr>
                        <pic:blipFill>
                          <a:blip r:embed="rId272"/>
                          <a:stretch>
                            <a:fillRect/>
                          </a:stretch>
                        </pic:blipFill>
                        <pic:spPr bwMode="auto">
                          <a:xfrm>
                            <a:off x="0" y="0"/>
                            <a:ext cx="1066800" cy="581025"/>
                          </a:xfrm>
                          <a:prstGeom prst="rect">
                            <a:avLst/>
                          </a:prstGeom>
                        </pic:spPr>
                      </pic:pic>
                    </a:graphicData>
                  </a:graphic>
                </wp:inline>
              </w:drawing>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Grant B. McGee, Senior Vice President, General Counsel and Corporate Secretary</w:t>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Kimberly-Clark Corporation</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P.O. Box 619100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Dallas, Texas 75261-9100</w:t>
            </w:r>
          </w:p>
          <w:p>
            <w:pPr>
              <w:pStyle w:val="TableContents"/>
              <w:bidi w:val="0"/>
              <w:spacing w:lineRule="auto" w:line="312" w:before="0" w:after="0"/>
              <w:jc w:val="left"/>
              <w:rPr>
                <w:rFonts w:ascii="Lato;sans-serif" w:hAnsi="Lato;sans-serif"/>
                <w:b w:val="false"/>
                <w:color w:val="000000"/>
                <w:sz w:val="19"/>
              </w:rPr>
            </w:pPr>
            <w:r>
              <w:rPr>
                <w:rFonts w:ascii="Lato;sans-serif" w:hAnsi="Lato;sans-serif"/>
                <w:b w:val="false"/>
                <w:color w:val="000000"/>
                <w:sz w:val="19"/>
              </w:rPr>
              <w:t>Telephone (972) 281-1200</w:t>
            </w:r>
          </w:p>
        </w:tc>
        <w:tc>
          <w:tcPr>
            <w:tcW w:w="7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March 10, 2025</w:t>
            </w:r>
          </w:p>
        </w:tc>
        <w:tc>
          <w:tcPr>
            <w:tcW w:w="7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629920"/>
                <wp:effectExtent l="0" t="0" r="0" b="0"/>
                <wp:wrapNone/>
                <wp:docPr id="378" name="Frame10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686" w:type="dxa"/>
                              <w:jc w:val="right"/>
                              <w:tblInd w:w="0" w:type="dxa"/>
                              <w:tblLayout w:type="fixed"/>
                              <w:tblCellMar>
                                <w:top w:w="28" w:type="dxa"/>
                                <w:left w:w="28" w:type="dxa"/>
                                <w:bottom w:w="28" w:type="dxa"/>
                                <w:right w:w="28" w:type="dxa"/>
                              </w:tblCellMar>
                            </w:tblPr>
                            <w:tblGrid>
                              <w:gridCol w:w="787"/>
                              <w:gridCol w:w="692"/>
                              <w:gridCol w:w="696"/>
                              <w:gridCol w:w="149"/>
                              <w:gridCol w:w="149"/>
                              <w:gridCol w:w="21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686" w:type="dxa"/>
                        <w:jc w:val="right"/>
                        <w:tblInd w:w="0" w:type="dxa"/>
                        <w:tblLayout w:type="fixed"/>
                        <w:tblCellMar>
                          <w:top w:w="28" w:type="dxa"/>
                          <w:left w:w="28" w:type="dxa"/>
                          <w:bottom w:w="28" w:type="dxa"/>
                          <w:right w:w="28" w:type="dxa"/>
                        </w:tblCellMar>
                      </w:tblPr>
                      <w:tblGrid>
                        <w:gridCol w:w="787"/>
                        <w:gridCol w:w="692"/>
                        <w:gridCol w:w="696"/>
                        <w:gridCol w:w="149"/>
                        <w:gridCol w:w="149"/>
                        <w:gridCol w:w="213"/>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 Bold;sans-serif" w:hAnsi="Lato Bold;sans-serif"/>
                                <w:b/>
                                <w:color w:val="616161"/>
                                <w:sz w:val="18"/>
                              </w:rPr>
                            </w:pPr>
                            <w:r>
                              <w:rPr>
                                <w:rFonts w:ascii="Lato Bold;sans-serif" w:hAnsi="Lato Bold;sans-serif"/>
                                <w:b/>
                                <w:color w:val="616161"/>
                                <w:sz w:val="18"/>
                              </w:rPr>
                              <w:t>101</w:t>
                            </w:r>
                          </w:p>
                        </w:tc>
                      </w:tr>
                    </w:tbl>
                    <w:p>
                      <w:pPr>
                        <w:pStyle w:val="TextBody"/>
                        <w:bidi w:val="0"/>
                        <w:spacing w:before="0" w:after="283"/>
                        <w:jc w:val="left"/>
                        <w:rPr/>
                      </w:pPr>
                      <w:r>
                        <w:rPr/>
                      </w:r>
                    </w:p>
                  </w:txbxContent>
                </v:textbox>
                <w10:wrap type="none"/>
              </v:rect>
            </w:pict>
          </mc:Fallback>
        </mc:AlternateContent>
      </w:r>
    </w:p>
    <w:tbl>
      <w:tblPr>
        <w:tblW w:w="893" w:type="dxa"/>
        <w:jc w:val="left"/>
        <w:tblInd w:w="0" w:type="dxa"/>
        <w:tblLayout w:type="fixed"/>
        <w:tblCellMar>
          <w:top w:w="28" w:type="dxa"/>
          <w:left w:w="28" w:type="dxa"/>
          <w:bottom w:w="28" w:type="dxa"/>
          <w:right w:w="28" w:type="dxa"/>
        </w:tblCellMar>
      </w:tblPr>
      <w:tblGrid>
        <w:gridCol w:w="124"/>
        <w:gridCol w:w="109"/>
        <w:gridCol w:w="109"/>
        <w:gridCol w:w="161"/>
        <w:gridCol w:w="161"/>
        <w:gridCol w:w="2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79"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272" descr=""/>
                          <pic:cNvPicPr>
                            <a:picLocks noChangeAspect="1" noChangeArrowheads="1"/>
                          </pic:cNvPicPr>
                        </pic:nvPicPr>
                        <pic:blipFill>
                          <a:blip r:embed="rId273"/>
                          <a:stretch>
                            <a:fillRect/>
                          </a:stretch>
                        </pic:blipFill>
                        <pic:spPr bwMode="auto">
                          <a:xfrm>
                            <a:off x="0" y="0"/>
                            <a:ext cx="228600" cy="180975"/>
                          </a:xfrm>
                          <a:prstGeom prst="rect">
                            <a:avLst/>
                          </a:prstGeom>
                        </pic:spPr>
                      </pic:pic>
                    </a:graphicData>
                  </a:graphic>
                </wp:inline>
              </w:drawing>
            </w:r>
            <w:r>
              <w:rPr>
                <w:color w:val="000000"/>
              </w:rPr>
              <w:t> </w:t>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80" w:after="120"/>
        <w:jc w:val="center"/>
        <w:rPr>
          <w:rFonts w:ascii="Lato;sans-serif" w:hAnsi="Lato;sans-serif"/>
          <w:b w:val="false"/>
          <w:color w:val="0046C8"/>
          <w:sz w:val="48"/>
          <w:u w:val="single"/>
        </w:rPr>
      </w:pPr>
      <w:r>
        <w:rPr>
          <w:rFonts w:ascii="Lato;sans-serif" w:hAnsi="Lato;sans-serif"/>
          <w:b w:val="false"/>
          <w:color w:val="0046C8"/>
          <w:sz w:val="48"/>
          <w:u w:val="single"/>
        </w:rPr>
        <w:t>Appendix A</w:t>
      </w:r>
    </w:p>
    <w:p>
      <w:pPr>
        <w:pStyle w:val="TextBody"/>
        <w:bidi w:val="0"/>
        <w:spacing w:lineRule="auto" w:line="312" w:before="120" w:after="120"/>
        <w:jc w:val="both"/>
        <w:rPr>
          <w:rFonts w:ascii="Lato;sans-serif" w:hAnsi="Lato;sans-serif"/>
          <w:b/>
          <w:color w:val="000000"/>
          <w:sz w:val="19"/>
        </w:rPr>
      </w:pPr>
      <w:r>
        <w:rPr>
          <w:rFonts w:ascii="Lato;sans-serif" w:hAnsi="Lato;sans-serif"/>
          <w:b/>
          <w:color w:val="000000"/>
          <w:sz w:val="19"/>
        </w:rPr>
        <w:t>SUMMARY OF NON-GAAP FINANCIAL MEASURES</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The following provides the reconciliation of the non-GAAP financial measures provided in this report to the most closely related GAAP measure. These measures include: Organic Sales Growth, Adjusted Gross Profit, Adjusted Operating Profit, Adjusted Earnings per Share, and Adjusted Free Cash Flow. Where applicable, we also refer to the associated margin for each of these metrics, which is calculated as the proportion of the metric relative to the applicable period’s net sales. </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Organic Sales Growth is defined as the change in consolidated Net Sales, as determined in accordance with U.S. GAAP, excluding the impacts of currency translation and divestitures and business exits. </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Adjusted Gross and Operating Profit and Adjusted Earnings per Share are defined as consolidated Gross Profit, Operating Profit, and Diluted Earnings per Share, respectively, as determined in accordance with U.S. GAAP, excluding the impacts of certain items that management believes do not reflect our underlying operations, and which are discussed in further detail below. </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Adjusted Free Cash Flow is defined as cash provided by operations, as determined in accordance with U.S. GAAP, less capital expenditures and excluding cash restructuring charges associated with our previously announced restructuring activities.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The income tax effect of these non-GAAP items on the Company's Adjusted Earnings per Share is calculated based upon the tax laws and statutory income tax rates applicable in the tax jurisdiction(s) of the underlying non-GAAP adjustment. The impact of these non-GAAP items on the Company’s effective tax rate represents the difference in the effective tax rate calculated with and without the non-GAAP adjustment on Income Before Income Taxes and Equity Interests and Provision for income taxes.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We use these non-GAAP financial measures to assist in comparing our performance on a consistent basis for purposes of business decision making by removing the impact of certain items that we do not believe reflect our underlying and ongoing operations. We believe that presenting these non-GAAP financial measures is useful to investors because it (i) provides investors with meaningful supplemental information regarding financial performance by excluding certain items, (ii) permits investors to view performance using the same tools that management uses to budget, make operating and strategic decisions, and evaluate historical performance, and (iii) otherwise provides supplemental information that may be useful to investors in evaluating our results. We believe that the presentation of these non-GAAP financial measures, when considered together with the corresponding U.S. GAAP financial measures and the reconciliation to those measures, provides investors with additional understanding of the factors and trends affecting our business than could be obtained absent these disclosures.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 xml:space="preserve">These non-GAAP financial measures are not meant to be considered in isolation or as a substitute for the comparable GAAP measures, and they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being excluded. We compensate for these limitations by using these non-GAAP financial measures as a supplement to the GAAP measures and by providing reconciliations of the non-GAAP and comparable GAAP financial measures.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non-GAAP financial measures exclude the following items for the relevant time periods (refer to our Annual Report on Form 10-K for the year ended December 31, 2024 for further details on these items):</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2024 Transformation Initiative - We initiated this transformation to create a more agile and focused operating structure that will accelerate our proprietary pipeline of innovation in right-to-win spaces and improve our growth trajectory, profitability, and returns on investment. Results in 2024 include charges related to this program. </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Sale of PPE Business - In 2024, we recognized a gain related to the sale of our PPE business. </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Impairment of Intangible Assets - In 2024 and 2023, we recognized charges related to the impairment of certain intangible assets related to Softex and Thinx. </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Legal Expense - In 2024, we incurred certain costs related to litigation and regulatory matters for a previously exited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744855"/>
                <wp:effectExtent l="0" t="0" r="0" b="0"/>
                <wp:wrapNone/>
                <wp:docPr id="380" name="Frame108"/>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54" w:type="dxa"/>
                              <w:jc w:val="left"/>
                              <w:tblInd w:w="0" w:type="dxa"/>
                              <w:tblLayout w:type="fixed"/>
                              <w:tblCellMar>
                                <w:top w:w="28" w:type="dxa"/>
                                <w:left w:w="28" w:type="dxa"/>
                                <w:bottom w:w="28" w:type="dxa"/>
                                <w:right w:w="28" w:type="dxa"/>
                              </w:tblCellMar>
                            </w:tblPr>
                            <w:tblGrid>
                              <w:gridCol w:w="787"/>
                              <w:gridCol w:w="692"/>
                              <w:gridCol w:w="696"/>
                              <w:gridCol w:w="140"/>
                              <w:gridCol w:w="140"/>
                              <w:gridCol w:w="199"/>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479" w:type="dxa"/>
                                  <w:gridSpan w:val="3"/>
                                  <w:tcBorders/>
                                  <w:tcMar>
                                    <w:top w:w="0" w:type="dxa"/>
                                    <w:left w:w="0" w:type="dxa"/>
                                    <w:bottom w:w="0" w:type="dxa"/>
                                    <w:right w:w="0" w:type="dxa"/>
                                  </w:tcMar>
                                  <w:vAlign w:val="center"/>
                                </w:tcPr>
                                <w:p>
                                  <w:pPr>
                                    <w:pStyle w:val="TableContents"/>
                                    <w:bidi w:val="0"/>
                                    <w:spacing w:lineRule="auto" w:line="312" w:before="120" w:after="120"/>
                                    <w:jc w:val="right"/>
                                    <w:rPr>
                                      <w:rFonts w:ascii="Lato Bold;sans-serif" w:hAnsi="Lato Bold;sans-serif"/>
                                      <w:b/>
                                      <w:color w:val="616161"/>
                                      <w:sz w:val="18"/>
                                    </w:rPr>
                                  </w:pPr>
                                  <w:r>
                                    <w:rPr>
                                      <w:rFonts w:ascii="Lato Bold;sans-serif" w:hAnsi="Lato Bold;sans-serif"/>
                                      <w:b/>
                                      <w:color w:val="616161"/>
                                      <w:sz w:val="18"/>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54" w:type="dxa"/>
                        <w:jc w:val="left"/>
                        <w:tblInd w:w="0" w:type="dxa"/>
                        <w:tblLayout w:type="fixed"/>
                        <w:tblCellMar>
                          <w:top w:w="28" w:type="dxa"/>
                          <w:left w:w="28" w:type="dxa"/>
                          <w:bottom w:w="28" w:type="dxa"/>
                          <w:right w:w="28" w:type="dxa"/>
                        </w:tblCellMar>
                      </w:tblPr>
                      <w:tblGrid>
                        <w:gridCol w:w="787"/>
                        <w:gridCol w:w="692"/>
                        <w:gridCol w:w="696"/>
                        <w:gridCol w:w="140"/>
                        <w:gridCol w:w="140"/>
                        <w:gridCol w:w="199"/>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479" w:type="dxa"/>
                            <w:gridSpan w:val="3"/>
                            <w:tcBorders/>
                            <w:tcMar>
                              <w:top w:w="0" w:type="dxa"/>
                              <w:left w:w="0" w:type="dxa"/>
                              <w:bottom w:w="0" w:type="dxa"/>
                              <w:right w:w="0" w:type="dxa"/>
                            </w:tcMar>
                            <w:vAlign w:val="center"/>
                          </w:tcPr>
                          <w:p>
                            <w:pPr>
                              <w:pStyle w:val="TableContents"/>
                              <w:bidi w:val="0"/>
                              <w:spacing w:lineRule="auto" w:line="312" w:before="120" w:after="120"/>
                              <w:jc w:val="right"/>
                              <w:rPr>
                                <w:rFonts w:ascii="Lato Bold;sans-serif" w:hAnsi="Lato Bold;sans-serif"/>
                                <w:b/>
                                <w:color w:val="616161"/>
                                <w:sz w:val="18"/>
                              </w:rPr>
                            </w:pPr>
                            <w:r>
                              <w:rPr>
                                <w:rFonts w:ascii="Lato Bold;sans-serif" w:hAnsi="Lato Bold;sans-serif"/>
                                <w:b/>
                                <w:color w:val="616161"/>
                                <w:sz w:val="18"/>
                              </w:rPr>
                              <w:t>A-1</w:t>
                            </w:r>
                          </w:p>
                        </w:tc>
                      </w:tr>
                    </w:tbl>
                    <w:p>
                      <w:pPr>
                        <w:pStyle w:val="TextBody"/>
                        <w:bidi w:val="0"/>
                        <w:spacing w:before="0" w:after="283"/>
                        <w:jc w:val="left"/>
                        <w:rPr/>
                      </w:pPr>
                      <w:r>
                        <w:rPr/>
                      </w:r>
                    </w:p>
                  </w:txbxContent>
                </v:textbox>
                <w10:wrap type="none"/>
              </v:rect>
            </w:pict>
          </mc:Fallback>
        </mc:AlternateContent>
      </w:r>
    </w:p>
    <w:tbl>
      <w:tblPr>
        <w:tblW w:w="1510" w:type="dxa"/>
        <w:jc w:val="left"/>
        <w:tblInd w:w="0" w:type="dxa"/>
        <w:tblLayout w:type="fixed"/>
        <w:tblCellMar>
          <w:top w:w="28" w:type="dxa"/>
          <w:left w:w="28" w:type="dxa"/>
          <w:bottom w:w="28" w:type="dxa"/>
          <w:right w:w="28" w:type="dxa"/>
        </w:tblCellMar>
      </w:tblPr>
      <w:tblGrid>
        <w:gridCol w:w="348"/>
        <w:gridCol w:w="305"/>
        <w:gridCol w:w="306"/>
        <w:gridCol w:w="161"/>
        <w:gridCol w:w="161"/>
        <w:gridCol w:w="229"/>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4"/>
              </w:rPr>
            </w:pPr>
            <w:r>
              <w:rPr>
                <w:rFonts w:ascii="Lato Bold;sans-serif" w:hAnsi="Lato Bold;sans-serif"/>
                <w:b/>
                <w:color w:val="000000"/>
                <w:sz w:val="14"/>
              </w:rPr>
              <w:t>Appendix A</w:t>
            </w:r>
          </w:p>
        </w:tc>
        <w:tc>
          <w:tcPr>
            <w:tcW w:w="551" w:type="dxa"/>
            <w:gridSpan w:val="3"/>
            <w:tcBorders/>
            <w:tcMar>
              <w:top w:w="0" w:type="dxa"/>
              <w:left w:w="0" w:type="dxa"/>
              <w:bottom w:w="0" w:type="dxa"/>
              <w:right w:w="0" w:type="dxa"/>
            </w:tcMar>
            <w:vAlign w:val="center"/>
          </w:tcPr>
          <w:p>
            <w:pPr>
              <w:pStyle w:val="TableContents"/>
              <w:bidi w:val="0"/>
              <w:spacing w:lineRule="auto" w:line="312" w:before="120" w:after="120"/>
              <w:jc w:val="right"/>
              <w:rPr/>
            </w:pPr>
            <w:r>
              <w:rPr/>
              <w:drawing>
                <wp:inline distT="0" distB="0" distL="0" distR="0">
                  <wp:extent cx="228600" cy="180975"/>
                  <wp:effectExtent l="0" t="0" r="0" b="0"/>
                  <wp:docPr id="381"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273" descr=""/>
                          <pic:cNvPicPr>
                            <a:picLocks noChangeAspect="1" noChangeArrowheads="1"/>
                          </pic:cNvPicPr>
                        </pic:nvPicPr>
                        <pic:blipFill>
                          <a:blip r:embed="rId274"/>
                          <a:stretch>
                            <a:fillRect/>
                          </a:stretch>
                        </pic:blipFill>
                        <pic:spPr bwMode="auto">
                          <a:xfrm>
                            <a:off x="0" y="0"/>
                            <a:ext cx="228600" cy="180975"/>
                          </a:xfrm>
                          <a:prstGeom prst="rect">
                            <a:avLst/>
                          </a:prstGeom>
                        </pic:spPr>
                      </pic:pic>
                    </a:graphicData>
                  </a:graphic>
                </wp:inline>
              </w:drawing>
            </w:r>
            <w:r>
              <w:rPr>
                <w:color w:val="000000"/>
              </w:rPr>
              <w:t> </w:t>
            </w:r>
          </w:p>
        </w:tc>
      </w:tr>
      <w:tr>
        <w:trPr/>
        <w:tc>
          <w:tcPr>
            <w:tcW w:w="95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Softex Tax Reserve Release - In 2024, we released a reserve for an uncertain tax position related to the prior year impairment of certain Softex intangible assets. </w:t>
      </w:r>
    </w:p>
    <w:p>
      <w:pPr>
        <w:pStyle w:val="TextBody"/>
        <w:bidi w:val="0"/>
        <w:spacing w:lineRule="auto" w:line="312" w:before="80" w:after="80"/>
        <w:ind w:left="0" w:right="0" w:hanging="216"/>
        <w:jc w:val="left"/>
        <w:rPr/>
      </w:pPr>
      <w:r>
        <w:rPr>
          <w:color w:val="0046C8"/>
        </w:rPr>
        <w:t>•</w:t>
      </w:r>
      <w:r>
        <w:rPr>
          <w:rFonts w:ascii="Lato;sans-serif" w:hAnsi="Lato;sans-serif"/>
          <w:b w:val="false"/>
          <w:color w:val="000000"/>
          <w:sz w:val="19"/>
        </w:rPr>
        <w:t xml:space="preserve">Sale of Brazil Tissue and Professional Business - In 2023, we recognized a net benefit related to the sale of our Neve tissue brand and related consumer and professional tissue assets. </w:t>
      </w:r>
    </w:p>
    <w:p>
      <w:pPr>
        <w:pStyle w:val="TextBody"/>
        <w:bidi w:val="0"/>
        <w:spacing w:lineRule="auto" w:line="312" w:before="80" w:after="120"/>
        <w:ind w:left="0" w:right="0" w:hanging="216"/>
        <w:jc w:val="left"/>
        <w:rPr/>
      </w:pPr>
      <w:r>
        <w:rPr>
          <w:color w:val="0046C8"/>
        </w:rPr>
        <w:t>•</w:t>
      </w:r>
      <w:r>
        <w:rPr>
          <w:rFonts w:ascii="Lato;sans-serif" w:hAnsi="Lato;sans-serif"/>
          <w:b w:val="false"/>
          <w:color w:val="000000"/>
          <w:sz w:val="19"/>
        </w:rPr>
        <w:t>Pension Settlements - In 2023, pension settlement charges were recognized related to lump-sum distributions from pension plan assets exceeding the total of annual service and interest costs resulting in a recognition of deferred actuarial losses.</w:t>
      </w:r>
    </w:p>
    <w:p>
      <w:pPr>
        <w:pStyle w:val="TextBody"/>
        <w:bidi w:val="0"/>
        <w:spacing w:lineRule="auto" w:line="312" w:before="180" w:after="120"/>
        <w:jc w:val="left"/>
        <w:rPr>
          <w:rFonts w:ascii="Lato;sans-serif" w:hAnsi="Lato;sans-serif"/>
          <w:b w:val="false"/>
          <w:color w:val="000000"/>
          <w:sz w:val="19"/>
        </w:rPr>
      </w:pPr>
      <w:r>
        <w:rPr>
          <w:rFonts w:ascii="Lato;sans-serif" w:hAnsi="Lato;sans-serif"/>
          <w:b w:val="false"/>
          <w:color w:val="000000"/>
          <w:sz w:val="19"/>
        </w:rPr>
        <w:t>The following table provides a reconciliation of Organic Sales Growth for the year ended December 31, 2024:</w:t>
      </w:r>
    </w:p>
    <w:tbl>
      <w:tblPr>
        <w:tblW w:w="8075" w:type="dxa"/>
        <w:jc w:val="left"/>
        <w:tblInd w:w="0" w:type="dxa"/>
        <w:tblLayout w:type="fixed"/>
        <w:tblCellMar>
          <w:top w:w="28" w:type="dxa"/>
          <w:left w:w="28" w:type="dxa"/>
          <w:bottom w:w="28" w:type="dxa"/>
          <w:right w:w="28" w:type="dxa"/>
        </w:tblCellMar>
      </w:tblPr>
      <w:tblGrid>
        <w:gridCol w:w="1057"/>
        <w:gridCol w:w="931"/>
        <w:gridCol w:w="937"/>
        <w:gridCol w:w="109"/>
        <w:gridCol w:w="109"/>
        <w:gridCol w:w="109"/>
        <w:gridCol w:w="109"/>
        <w:gridCol w:w="109"/>
        <w:gridCol w:w="1346"/>
        <w:gridCol w:w="1346"/>
        <w:gridCol w:w="1913"/>
      </w:tblGrid>
      <w:tr>
        <w:trPr/>
        <w:tc>
          <w:tcPr>
            <w:tcW w:w="105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Percent change vs. the prior year period</w:t>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5"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Net Sales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gridSpan w:val="2"/>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8"/>
              </w:rPr>
            </w:pPr>
            <w:r>
              <w:rPr>
                <w:rFonts w:ascii="Lato Bold;sans-serif" w:hAnsi="Lato Bold;sans-serif"/>
                <w:b/>
                <w:color w:val="000000"/>
                <w:sz w:val="18"/>
              </w:rPr>
              <w:t>(1.8)</w:t>
            </w:r>
          </w:p>
        </w:tc>
        <w:tc>
          <w:tcPr>
            <w:tcW w:w="1913"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3.8</w:t>
            </w:r>
            <w:r>
              <w:rPr>
                <w:color w:val="000000"/>
              </w:rPr>
              <w:t> </w:t>
            </w:r>
          </w:p>
        </w:tc>
        <w:tc>
          <w:tcPr>
            <w:tcW w:w="191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Divestitures and Business Exits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1.2</w:t>
            </w:r>
            <w:r>
              <w:rPr>
                <w:color w:val="000000"/>
              </w:rPr>
              <w:t> </w:t>
            </w:r>
          </w:p>
        </w:tc>
        <w:tc>
          <w:tcPr>
            <w:tcW w:w="1913"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Organic Sales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2" w:type="dxa"/>
            <w:gridSpan w:val="2"/>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3.2</w:t>
            </w:r>
            <w:r>
              <w:rPr>
                <w:color w:val="000000"/>
              </w:rPr>
              <w:t> </w:t>
            </w:r>
          </w:p>
        </w:tc>
        <w:tc>
          <w:tcPr>
            <w:tcW w:w="1913"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80" w:after="120"/>
        <w:jc w:val="left"/>
        <w:rPr>
          <w:rFonts w:ascii="Lato;sans-serif" w:hAnsi="Lato;sans-serif"/>
          <w:b w:val="false"/>
          <w:color w:val="000000"/>
          <w:sz w:val="19"/>
        </w:rPr>
      </w:pPr>
      <w:r>
        <w:rPr>
          <w:rFonts w:ascii="Lato;sans-serif" w:hAnsi="Lato;sans-serif"/>
          <w:b w:val="false"/>
          <w:color w:val="000000"/>
          <w:sz w:val="19"/>
        </w:rPr>
        <w:t>The following table provides a reconciliation of Adjusted Gross Profit:</w:t>
      </w:r>
    </w:p>
    <w:tbl>
      <w:tblPr>
        <w:tblW w:w="7162" w:type="dxa"/>
        <w:jc w:val="left"/>
        <w:tblInd w:w="0" w:type="dxa"/>
        <w:tblLayout w:type="fixed"/>
        <w:tblCellMar>
          <w:top w:w="28" w:type="dxa"/>
          <w:left w:w="28" w:type="dxa"/>
          <w:bottom w:w="28" w:type="dxa"/>
          <w:right w:w="28" w:type="dxa"/>
        </w:tblCellMar>
      </w:tblPr>
      <w:tblGrid>
        <w:gridCol w:w="1528"/>
        <w:gridCol w:w="1346"/>
        <w:gridCol w:w="1355"/>
        <w:gridCol w:w="114"/>
        <w:gridCol w:w="114"/>
        <w:gridCol w:w="114"/>
        <w:gridCol w:w="237"/>
        <w:gridCol w:w="758"/>
        <w:gridCol w:w="114"/>
        <w:gridCol w:w="114"/>
        <w:gridCol w:w="114"/>
        <w:gridCol w:w="114"/>
        <w:gridCol w:w="237"/>
        <w:gridCol w:w="742"/>
        <w:gridCol w:w="161"/>
      </w:tblGrid>
      <w:tr>
        <w:trPr/>
        <w:tc>
          <w:tcPr>
            <w:tcW w:w="152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12"/>
            <w:tcBorders>
              <w:bottom w:val="single" w:sz="8" w:space="0" w:color="0046C8"/>
            </w:tcBorders>
            <w:tcMar>
              <w:top w:w="0" w:type="dxa"/>
              <w:left w:w="0" w:type="dxa"/>
              <w:bottom w:w="3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Year Ended December 31</w:t>
            </w:r>
          </w:p>
        </w:tc>
      </w:tr>
      <w:tr>
        <w:trPr/>
        <w:tc>
          <w:tcPr>
            <w:tcW w:w="42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(in millions)</w:t>
            </w:r>
          </w:p>
        </w:tc>
        <w:tc>
          <w:tcPr>
            <w:tcW w:w="1451" w:type="dxa"/>
            <w:gridSpan w:val="6"/>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2024</w:t>
            </w:r>
          </w:p>
        </w:tc>
        <w:tc>
          <w:tcPr>
            <w:tcW w:w="1482" w:type="dxa"/>
            <w:gridSpan w:val="6"/>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2023</w:t>
            </w:r>
          </w:p>
        </w:tc>
      </w:tr>
      <w:tr>
        <w:trPr/>
        <w:tc>
          <w:tcPr>
            <w:tcW w:w="422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Gross Profit</w:t>
            </w:r>
          </w:p>
        </w:tc>
        <w:tc>
          <w:tcPr>
            <w:tcW w:w="342"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w:t>
            </w:r>
          </w:p>
        </w:tc>
        <w:tc>
          <w:tcPr>
            <w:tcW w:w="758"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7,180</w:t>
            </w:r>
            <w:r>
              <w:rPr>
                <w:color w:val="000000"/>
              </w:rPr>
              <w:t> </w:t>
            </w:r>
          </w:p>
        </w:tc>
        <w:tc>
          <w:tcPr>
            <w:tcW w:w="114"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742"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7,032 </w:t>
            </w:r>
          </w:p>
        </w:tc>
        <w:tc>
          <w:tcPr>
            <w:tcW w:w="16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 xml:space="preserve">2024 Transformation Initiative </w:t>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144</w:t>
            </w: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Sale of Brazil Tissue and Professional Business</w:t>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15 </w:t>
            </w:r>
          </w:p>
        </w:tc>
        <w:tc>
          <w:tcPr>
            <w:tcW w:w="1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Adjusted Gross Profit</w:t>
            </w:r>
          </w:p>
        </w:tc>
        <w:tc>
          <w:tcPr>
            <w:tcW w:w="342"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w:t>
            </w:r>
          </w:p>
        </w:tc>
        <w:tc>
          <w:tcPr>
            <w:tcW w:w="758"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7,324</w:t>
            </w:r>
            <w:r>
              <w:rPr>
                <w:color w:val="000000"/>
              </w:rPr>
              <w:t> </w:t>
            </w:r>
          </w:p>
        </w:tc>
        <w:tc>
          <w:tcPr>
            <w:tcW w:w="114"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742"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7,047 </w:t>
            </w:r>
          </w:p>
        </w:tc>
        <w:tc>
          <w:tcPr>
            <w:tcW w:w="16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80" w:after="120"/>
        <w:jc w:val="left"/>
        <w:rPr>
          <w:rFonts w:ascii="Lato;sans-serif" w:hAnsi="Lato;sans-serif"/>
          <w:b w:val="false"/>
          <w:color w:val="000000"/>
          <w:sz w:val="19"/>
        </w:rPr>
      </w:pPr>
      <w:r>
        <w:rPr>
          <w:rFonts w:ascii="Lato;sans-serif" w:hAnsi="Lato;sans-serif"/>
          <w:b w:val="false"/>
          <w:color w:val="000000"/>
          <w:sz w:val="19"/>
        </w:rPr>
        <w:t>The following table provides a reconciliation of Adjusted Operating Profit:</w:t>
      </w:r>
    </w:p>
    <w:tbl>
      <w:tblPr>
        <w:tblW w:w="7162" w:type="dxa"/>
        <w:jc w:val="left"/>
        <w:tblInd w:w="0" w:type="dxa"/>
        <w:tblLayout w:type="fixed"/>
        <w:tblCellMar>
          <w:top w:w="28" w:type="dxa"/>
          <w:left w:w="28" w:type="dxa"/>
          <w:bottom w:w="28" w:type="dxa"/>
          <w:right w:w="28" w:type="dxa"/>
        </w:tblCellMar>
      </w:tblPr>
      <w:tblGrid>
        <w:gridCol w:w="1532"/>
        <w:gridCol w:w="1348"/>
        <w:gridCol w:w="1349"/>
        <w:gridCol w:w="114"/>
        <w:gridCol w:w="114"/>
        <w:gridCol w:w="114"/>
        <w:gridCol w:w="237"/>
        <w:gridCol w:w="758"/>
        <w:gridCol w:w="114"/>
        <w:gridCol w:w="114"/>
        <w:gridCol w:w="114"/>
        <w:gridCol w:w="114"/>
        <w:gridCol w:w="237"/>
        <w:gridCol w:w="742"/>
        <w:gridCol w:w="161"/>
      </w:tblGrid>
      <w:tr>
        <w:trPr/>
        <w:tc>
          <w:tcPr>
            <w:tcW w:w="153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12"/>
            <w:tcBorders>
              <w:bottom w:val="single" w:sz="8" w:space="0" w:color="0046C8"/>
            </w:tcBorders>
            <w:tcMar>
              <w:top w:w="0" w:type="dxa"/>
              <w:left w:w="0" w:type="dxa"/>
              <w:bottom w:w="3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Year Ended December 31</w:t>
            </w:r>
          </w:p>
        </w:tc>
      </w:tr>
      <w:tr>
        <w:trPr/>
        <w:tc>
          <w:tcPr>
            <w:tcW w:w="42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(in millions)</w:t>
            </w:r>
          </w:p>
        </w:tc>
        <w:tc>
          <w:tcPr>
            <w:tcW w:w="1451" w:type="dxa"/>
            <w:gridSpan w:val="6"/>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2024</w:t>
            </w:r>
          </w:p>
        </w:tc>
        <w:tc>
          <w:tcPr>
            <w:tcW w:w="1482" w:type="dxa"/>
            <w:gridSpan w:val="6"/>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2023</w:t>
            </w:r>
          </w:p>
        </w:tc>
      </w:tr>
      <w:tr>
        <w:trPr/>
        <w:tc>
          <w:tcPr>
            <w:tcW w:w="422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val="false"/>
                <w:color w:val="000000"/>
                <w:sz w:val="18"/>
              </w:rPr>
            </w:pPr>
            <w:r>
              <w:rPr>
                <w:rFonts w:ascii="Lato Bold;sans-serif" w:hAnsi="Lato Bold;sans-serif"/>
                <w:b w:val="false"/>
                <w:color w:val="000000"/>
                <w:sz w:val="18"/>
              </w:rPr>
              <w:t>Operating Profit</w:t>
            </w:r>
          </w:p>
        </w:tc>
        <w:tc>
          <w:tcPr>
            <w:tcW w:w="342"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w:t>
            </w:r>
          </w:p>
        </w:tc>
        <w:tc>
          <w:tcPr>
            <w:tcW w:w="758"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3,210</w:t>
            </w:r>
            <w:r>
              <w:rPr>
                <w:color w:val="000000"/>
              </w:rPr>
              <w:t> </w:t>
            </w:r>
          </w:p>
        </w:tc>
        <w:tc>
          <w:tcPr>
            <w:tcW w:w="114"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742"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2,344 </w:t>
            </w:r>
          </w:p>
        </w:tc>
        <w:tc>
          <w:tcPr>
            <w:tcW w:w="16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2024 Transformation Initiative</w:t>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456</w:t>
            </w: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 xml:space="preserve">Sale of PPE Business </w:t>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8"/>
              </w:rPr>
            </w:pPr>
            <w:r>
              <w:rPr>
                <w:rFonts w:ascii="Lato Bold;sans-serif" w:hAnsi="Lato Bold;sans-serif"/>
                <w:b/>
                <w:color w:val="000000"/>
                <w:sz w:val="18"/>
              </w:rPr>
              <w:t>(565)</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Impairment of Intangible Assets</w:t>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97</w:t>
            </w: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658 </w:t>
            </w:r>
          </w:p>
        </w:tc>
        <w:tc>
          <w:tcPr>
            <w:tcW w:w="1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Legal Expense</w:t>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39</w:t>
            </w: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Sale of Brazil Tissue and Professional Business</w:t>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(44)</w:t>
            </w:r>
          </w:p>
        </w:tc>
        <w:tc>
          <w:tcPr>
            <w:tcW w:w="1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val="false"/>
                <w:color w:val="000000"/>
                <w:sz w:val="18"/>
              </w:rPr>
            </w:pPr>
            <w:r>
              <w:rPr>
                <w:rFonts w:ascii="Lato Bold;sans-serif" w:hAnsi="Lato Bold;sans-serif"/>
                <w:b w:val="false"/>
                <w:color w:val="000000"/>
                <w:sz w:val="18"/>
              </w:rPr>
              <w:t>Adjusted Operating Profit</w:t>
            </w:r>
          </w:p>
        </w:tc>
        <w:tc>
          <w:tcPr>
            <w:tcW w:w="342"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w:t>
            </w:r>
          </w:p>
        </w:tc>
        <w:tc>
          <w:tcPr>
            <w:tcW w:w="758"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3,237</w:t>
            </w:r>
            <w:r>
              <w:rPr>
                <w:color w:val="000000"/>
              </w:rPr>
              <w:t> </w:t>
            </w:r>
          </w:p>
        </w:tc>
        <w:tc>
          <w:tcPr>
            <w:tcW w:w="114"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742"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2,958 </w:t>
            </w:r>
          </w:p>
        </w:tc>
        <w:tc>
          <w:tcPr>
            <w:tcW w:w="16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744855"/>
                <wp:effectExtent l="0" t="0" r="0" b="0"/>
                <wp:wrapNone/>
                <wp:docPr id="382" name="Frame109"/>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54" w:type="dxa"/>
                              <w:jc w:val="right"/>
                              <w:tblInd w:w="0" w:type="dxa"/>
                              <w:tblLayout w:type="fixed"/>
                              <w:tblCellMar>
                                <w:top w:w="28" w:type="dxa"/>
                                <w:left w:w="28" w:type="dxa"/>
                                <w:bottom w:w="28" w:type="dxa"/>
                                <w:right w:w="28" w:type="dxa"/>
                              </w:tblCellMar>
                            </w:tblPr>
                            <w:tblGrid>
                              <w:gridCol w:w="163"/>
                              <w:gridCol w:w="143"/>
                              <w:gridCol w:w="143"/>
                              <w:gridCol w:w="645"/>
                              <w:gridCol w:w="645"/>
                              <w:gridCol w:w="915"/>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Lato Bold;sans-serif" w:hAnsi="Lato Bold;sans-serif"/>
                                      <w:b/>
                                      <w:color w:val="616161"/>
                                      <w:sz w:val="18"/>
                                    </w:rPr>
                                  </w:pPr>
                                  <w:r>
                                    <w:rPr>
                                      <w:rFonts w:ascii="Lato Bold;sans-serif" w:hAnsi="Lato Bold;sans-serif"/>
                                      <w:b/>
                                      <w:color w:val="616161"/>
                                      <w:sz w:val="18"/>
                                    </w:rPr>
                                    <w:t>A-2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54" w:type="dxa"/>
                        <w:jc w:val="right"/>
                        <w:tblInd w:w="0" w:type="dxa"/>
                        <w:tblLayout w:type="fixed"/>
                        <w:tblCellMar>
                          <w:top w:w="28" w:type="dxa"/>
                          <w:left w:w="28" w:type="dxa"/>
                          <w:bottom w:w="28" w:type="dxa"/>
                          <w:right w:w="28" w:type="dxa"/>
                        </w:tblCellMar>
                      </w:tblPr>
                      <w:tblGrid>
                        <w:gridCol w:w="163"/>
                        <w:gridCol w:w="143"/>
                        <w:gridCol w:w="143"/>
                        <w:gridCol w:w="645"/>
                        <w:gridCol w:w="645"/>
                        <w:gridCol w:w="915"/>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312" w:before="120" w:after="120"/>
                              <w:jc w:val="left"/>
                              <w:rPr>
                                <w:rFonts w:ascii="Lato Bold;sans-serif" w:hAnsi="Lato Bold;sans-serif"/>
                                <w:b/>
                                <w:color w:val="616161"/>
                                <w:sz w:val="18"/>
                              </w:rPr>
                            </w:pPr>
                            <w:r>
                              <w:rPr>
                                <w:rFonts w:ascii="Lato Bold;sans-serif" w:hAnsi="Lato Bold;sans-serif"/>
                                <w:b/>
                                <w:color w:val="616161"/>
                                <w:sz w:val="18"/>
                              </w:rPr>
                              <w:t>A-2</w:t>
                            </w:r>
                          </w:p>
                        </w:tc>
                        <w:tc>
                          <w:tcPr>
                            <w:tcW w:w="2205"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r>
                    </w:tbl>
                    <w:p>
                      <w:pPr>
                        <w:pStyle w:val="TextBody"/>
                        <w:bidi w:val="0"/>
                        <w:spacing w:before="0" w:after="283"/>
                        <w:jc w:val="left"/>
                        <w:rPr/>
                      </w:pPr>
                      <w:r>
                        <w:rPr/>
                      </w:r>
                    </w:p>
                  </w:txbxContent>
                </v:textbox>
                <w10:wrap type="none"/>
              </v:rect>
            </w:pict>
          </mc:Fallback>
        </mc:AlternateContent>
      </w:r>
    </w:p>
    <w:tbl>
      <w:tblPr>
        <w:tblW w:w="1510" w:type="dxa"/>
        <w:jc w:val="left"/>
        <w:tblInd w:w="0" w:type="dxa"/>
        <w:tblLayout w:type="fixed"/>
        <w:tblCellMar>
          <w:top w:w="28" w:type="dxa"/>
          <w:left w:w="28" w:type="dxa"/>
          <w:bottom w:w="28" w:type="dxa"/>
          <w:right w:w="28" w:type="dxa"/>
        </w:tblCellMar>
      </w:tblPr>
      <w:tblGrid>
        <w:gridCol w:w="188"/>
        <w:gridCol w:w="166"/>
        <w:gridCol w:w="167"/>
        <w:gridCol w:w="289"/>
        <w:gridCol w:w="289"/>
        <w:gridCol w:w="411"/>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312" w:before="120" w:after="120"/>
              <w:jc w:val="left"/>
              <w:rPr/>
            </w:pPr>
            <w:r>
              <w:rPr/>
              <w:drawing>
                <wp:inline distT="0" distB="0" distL="0" distR="0">
                  <wp:extent cx="228600" cy="180975"/>
                  <wp:effectExtent l="0" t="0" r="0" b="0"/>
                  <wp:docPr id="383"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274" descr=""/>
                          <pic:cNvPicPr>
                            <a:picLocks noChangeAspect="1" noChangeArrowheads="1"/>
                          </pic:cNvPicPr>
                        </pic:nvPicPr>
                        <pic:blipFill>
                          <a:blip r:embed="rId275"/>
                          <a:stretch>
                            <a:fillRect/>
                          </a:stretch>
                        </pic:blipFill>
                        <pic:spPr bwMode="auto">
                          <a:xfrm>
                            <a:off x="0" y="0"/>
                            <a:ext cx="228600" cy="180975"/>
                          </a:xfrm>
                          <a:prstGeom prst="rect">
                            <a:avLst/>
                          </a:prstGeom>
                        </pic:spPr>
                      </pic:pic>
                    </a:graphicData>
                  </a:graphic>
                </wp:inline>
              </w:drawing>
            </w:r>
            <w:r>
              <w:rPr>
                <w:color w:val="000000"/>
              </w:rPr>
              <w:t> </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4"/>
              </w:rPr>
            </w:pPr>
            <w:r>
              <w:rPr>
                <w:rFonts w:ascii="Lato Bold;sans-serif" w:hAnsi="Lato Bold;sans-serif"/>
                <w:b/>
                <w:color w:val="000000"/>
                <w:sz w:val="14"/>
              </w:rPr>
              <w:t>Appendix A</w:t>
            </w:r>
          </w:p>
        </w:tc>
      </w:tr>
      <w:tr>
        <w:trPr/>
        <w:tc>
          <w:tcPr>
            <w:tcW w:w="5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80" w:after="120"/>
        <w:jc w:val="left"/>
        <w:rPr>
          <w:rFonts w:ascii="Lato;sans-serif" w:hAnsi="Lato;sans-serif"/>
          <w:b w:val="false"/>
          <w:color w:val="000000"/>
          <w:sz w:val="19"/>
        </w:rPr>
      </w:pPr>
      <w:r>
        <w:rPr>
          <w:rFonts w:ascii="Lato;sans-serif" w:hAnsi="Lato;sans-serif"/>
          <w:b w:val="false"/>
          <w:color w:val="000000"/>
          <w:sz w:val="19"/>
        </w:rPr>
        <w:t>The following table provides a reconciliation of Adjusted Earnings per Share:</w:t>
      </w:r>
    </w:p>
    <w:tbl>
      <w:tblPr>
        <w:tblW w:w="7167" w:type="dxa"/>
        <w:jc w:val="left"/>
        <w:tblInd w:w="0" w:type="dxa"/>
        <w:tblLayout w:type="fixed"/>
        <w:tblCellMar>
          <w:top w:w="28" w:type="dxa"/>
          <w:left w:w="28" w:type="dxa"/>
          <w:bottom w:w="28" w:type="dxa"/>
          <w:right w:w="28" w:type="dxa"/>
        </w:tblCellMar>
      </w:tblPr>
      <w:tblGrid>
        <w:gridCol w:w="1534"/>
        <w:gridCol w:w="1346"/>
        <w:gridCol w:w="1350"/>
        <w:gridCol w:w="125"/>
        <w:gridCol w:w="125"/>
        <w:gridCol w:w="125"/>
        <w:gridCol w:w="260"/>
        <w:gridCol w:w="691"/>
        <w:gridCol w:w="125"/>
        <w:gridCol w:w="125"/>
        <w:gridCol w:w="125"/>
        <w:gridCol w:w="125"/>
        <w:gridCol w:w="260"/>
        <w:gridCol w:w="674"/>
        <w:gridCol w:w="177"/>
      </w:tblGrid>
      <w:tr>
        <w:trPr/>
        <w:tc>
          <w:tcPr>
            <w:tcW w:w="153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2"/>
            <w:tcBorders>
              <w:bottom w:val="single" w:sz="8" w:space="0" w:color="0046C8"/>
            </w:tcBorders>
            <w:tcMar>
              <w:top w:w="0" w:type="dxa"/>
              <w:left w:w="0" w:type="dxa"/>
              <w:bottom w:w="3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Year Ended December 31</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6"/>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2024</w:t>
            </w:r>
          </w:p>
        </w:tc>
        <w:tc>
          <w:tcPr>
            <w:tcW w:w="1486" w:type="dxa"/>
            <w:gridSpan w:val="6"/>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2023</w:t>
            </w:r>
          </w:p>
        </w:tc>
      </w:tr>
      <w:tr>
        <w:trPr/>
        <w:tc>
          <w:tcPr>
            <w:tcW w:w="4230"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Diluted Earnings per Share</w:t>
            </w:r>
          </w:p>
        </w:tc>
        <w:tc>
          <w:tcPr>
            <w:tcW w:w="375"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w:t>
            </w:r>
          </w:p>
        </w:tc>
        <w:tc>
          <w:tcPr>
            <w:tcW w:w="691"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7.55</w:t>
            </w:r>
            <w:r>
              <w:rPr>
                <w:color w:val="000000"/>
              </w:rPr>
              <w:t> </w:t>
            </w:r>
          </w:p>
        </w:tc>
        <w:tc>
          <w:tcPr>
            <w:tcW w:w="125"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674"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5.21 </w:t>
            </w:r>
          </w:p>
        </w:tc>
        <w:tc>
          <w:tcPr>
            <w:tcW w:w="177"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2024 Transformation Initiative</w:t>
            </w:r>
          </w:p>
        </w:tc>
        <w:tc>
          <w:tcPr>
            <w:tcW w:w="37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1.01</w:t>
            </w:r>
            <w:r>
              <w:rPr>
                <w:color w:val="000000"/>
              </w:rPr>
              <w:t> </w:t>
            </w:r>
          </w:p>
        </w:tc>
        <w:tc>
          <w:tcPr>
            <w:tcW w:w="12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 xml:space="preserve">Sale of PPE Business </w:t>
            </w:r>
          </w:p>
        </w:tc>
        <w:tc>
          <w:tcPr>
            <w:tcW w:w="37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8"/>
              </w:rPr>
            </w:pPr>
            <w:r>
              <w:rPr>
                <w:rFonts w:ascii="Lato Bold;sans-serif" w:hAnsi="Lato Bold;sans-serif"/>
                <w:b/>
                <w:color w:val="000000"/>
                <w:sz w:val="18"/>
              </w:rPr>
              <w:t>(1.34)</w:t>
            </w:r>
          </w:p>
        </w:tc>
        <w:tc>
          <w:tcPr>
            <w:tcW w:w="12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Impairment of Intangible Assets</w:t>
            </w:r>
          </w:p>
        </w:tc>
        <w:tc>
          <w:tcPr>
            <w:tcW w:w="37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0.17</w:t>
            </w:r>
            <w:r>
              <w:rPr>
                <w:color w:val="000000"/>
              </w:rPr>
              <w:t> </w:t>
            </w:r>
          </w:p>
        </w:tc>
        <w:tc>
          <w:tcPr>
            <w:tcW w:w="12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1.36 </w:t>
            </w:r>
          </w:p>
        </w:tc>
        <w:tc>
          <w:tcPr>
            <w:tcW w:w="17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Legal Expense</w:t>
            </w:r>
          </w:p>
        </w:tc>
        <w:tc>
          <w:tcPr>
            <w:tcW w:w="37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0.11</w:t>
            </w:r>
            <w:r>
              <w:rPr>
                <w:color w:val="000000"/>
              </w:rPr>
              <w:t> </w:t>
            </w:r>
          </w:p>
        </w:tc>
        <w:tc>
          <w:tcPr>
            <w:tcW w:w="12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Softex Tax Reserve Release</w:t>
            </w:r>
          </w:p>
        </w:tc>
        <w:tc>
          <w:tcPr>
            <w:tcW w:w="37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8"/>
              </w:rPr>
            </w:pPr>
            <w:r>
              <w:rPr>
                <w:rFonts w:ascii="Lato Bold;sans-serif" w:hAnsi="Lato Bold;sans-serif"/>
                <w:b/>
                <w:color w:val="000000"/>
                <w:sz w:val="18"/>
              </w:rPr>
              <w:t>(0.20)</w:t>
            </w:r>
          </w:p>
        </w:tc>
        <w:tc>
          <w:tcPr>
            <w:tcW w:w="12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Sale of Brazil Tissue and Professional Business</w:t>
            </w:r>
          </w:p>
        </w:tc>
        <w:tc>
          <w:tcPr>
            <w:tcW w:w="37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(0.08)</w:t>
            </w:r>
          </w:p>
        </w:tc>
        <w:tc>
          <w:tcPr>
            <w:tcW w:w="17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Pension Settlements</w:t>
            </w:r>
          </w:p>
        </w:tc>
        <w:tc>
          <w:tcPr>
            <w:tcW w:w="37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0.08 </w:t>
            </w:r>
          </w:p>
        </w:tc>
        <w:tc>
          <w:tcPr>
            <w:tcW w:w="177"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0"/>
              <w:jc w:val="left"/>
              <w:rPr/>
            </w:pPr>
            <w:r>
              <w:rPr>
                <w:rFonts w:ascii="Lato Bold;sans-serif" w:hAnsi="Lato Bold;sans-serif"/>
                <w:b/>
                <w:color w:val="000000"/>
                <w:sz w:val="18"/>
              </w:rPr>
              <w:t>Adjusted Earnings per Share</w:t>
            </w:r>
            <w:r>
              <w:rPr>
                <w:rFonts w:ascii="Lato Bold;sans-serif" w:hAnsi="Lato Bold;sans-serif"/>
                <w:b/>
                <w:color w:val="000000"/>
                <w:sz w:val="12"/>
              </w:rPr>
              <w:t>(a)</w:t>
            </w:r>
          </w:p>
        </w:tc>
        <w:tc>
          <w:tcPr>
            <w:tcW w:w="375"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w:t>
            </w:r>
          </w:p>
        </w:tc>
        <w:tc>
          <w:tcPr>
            <w:tcW w:w="69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7.30</w:t>
            </w:r>
            <w:r>
              <w:rPr>
                <w:color w:val="000000"/>
              </w:rPr>
              <w:t> </w:t>
            </w:r>
          </w:p>
        </w:tc>
        <w:tc>
          <w:tcPr>
            <w:tcW w:w="125"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674"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6.57 </w:t>
            </w:r>
          </w:p>
        </w:tc>
        <w:tc>
          <w:tcPr>
            <w:tcW w:w="177"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120"/>
        <w:ind w:left="0" w:right="0" w:hanging="216"/>
        <w:jc w:val="left"/>
        <w:rPr/>
      </w:pPr>
      <w:r>
        <w:rPr>
          <w:rFonts w:ascii="Gilroy Regular;sans-serif" w:hAnsi="Gilroy Regular;sans-serif"/>
          <w:b w:val="false"/>
          <w:color w:val="000000"/>
          <w:sz w:val="10"/>
        </w:rPr>
        <w:t>(a)</w:t>
      </w:r>
      <w:r>
        <w:rPr>
          <w:rFonts w:ascii="Lato;sans-serif" w:hAnsi="Lato;sans-serif"/>
          <w:b w:val="false"/>
          <w:color w:val="000000"/>
          <w:sz w:val="16"/>
        </w:rPr>
        <w:t xml:space="preserve">The non-GAAP adjustments included above are presented net of tax. The income tax effect of these non-GAAP items is calculated based upon the tax laws and statutory income tax rates applicable in the tax jurisdiction(s) of the underlying non-GAAP adjustment. </w:t>
      </w:r>
    </w:p>
    <w:p>
      <w:pPr>
        <w:pStyle w:val="TextBody"/>
        <w:bidi w:val="0"/>
        <w:spacing w:lineRule="auto" w:line="312" w:before="120" w:after="120"/>
        <w:jc w:val="left"/>
        <w:rPr>
          <w:rFonts w:ascii="Lato;sans-serif" w:hAnsi="Lato;sans-serif"/>
          <w:b w:val="false"/>
          <w:color w:val="000000"/>
          <w:sz w:val="19"/>
        </w:rPr>
      </w:pPr>
      <w:r>
        <w:rPr>
          <w:rFonts w:ascii="Lato;sans-serif" w:hAnsi="Lato;sans-serif"/>
          <w:b w:val="false"/>
          <w:color w:val="000000"/>
          <w:sz w:val="19"/>
        </w:rPr>
        <w:t>The following table provides a reconciliation of Adjusted Free Cash Flow:</w:t>
      </w:r>
    </w:p>
    <w:tbl>
      <w:tblPr>
        <w:tblW w:w="6022" w:type="dxa"/>
        <w:jc w:val="left"/>
        <w:tblInd w:w="0" w:type="dxa"/>
        <w:tblLayout w:type="fixed"/>
        <w:tblCellMar>
          <w:top w:w="28" w:type="dxa"/>
          <w:left w:w="28" w:type="dxa"/>
          <w:bottom w:w="28" w:type="dxa"/>
          <w:right w:w="28" w:type="dxa"/>
        </w:tblCellMar>
      </w:tblPr>
      <w:tblGrid>
        <w:gridCol w:w="1118"/>
        <w:gridCol w:w="984"/>
        <w:gridCol w:w="987"/>
        <w:gridCol w:w="114"/>
        <w:gridCol w:w="114"/>
        <w:gridCol w:w="114"/>
        <w:gridCol w:w="237"/>
        <w:gridCol w:w="758"/>
        <w:gridCol w:w="114"/>
        <w:gridCol w:w="114"/>
        <w:gridCol w:w="114"/>
        <w:gridCol w:w="114"/>
        <w:gridCol w:w="237"/>
        <w:gridCol w:w="742"/>
        <w:gridCol w:w="161"/>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12"/>
            <w:tcBorders>
              <w:bottom w:val="single" w:sz="8" w:space="0" w:color="0046C8"/>
            </w:tcBorders>
            <w:tcMar>
              <w:top w:w="0" w:type="dxa"/>
              <w:left w:w="0" w:type="dxa"/>
              <w:bottom w:w="30" w:type="dxa"/>
              <w:right w:w="0" w:type="dxa"/>
            </w:tcMar>
            <w:vAlign w:val="center"/>
          </w:tcPr>
          <w:p>
            <w:pPr>
              <w:pStyle w:val="TableContents"/>
              <w:bidi w:val="0"/>
              <w:spacing w:lineRule="auto" w:line="288" w:before="0" w:after="283"/>
              <w:jc w:val="center"/>
              <w:rPr>
                <w:rFonts w:ascii="Lato Bold;sans-serif" w:hAnsi="Lato Bold;sans-serif"/>
                <w:b/>
                <w:color w:val="000000"/>
                <w:sz w:val="19"/>
              </w:rPr>
            </w:pPr>
            <w:r>
              <w:rPr>
                <w:rFonts w:ascii="Lato Bold;sans-serif" w:hAnsi="Lato Bold;sans-serif"/>
                <w:b/>
                <w:color w:val="000000"/>
                <w:sz w:val="19"/>
              </w:rPr>
              <w:t>Year Ended December 31</w:t>
            </w:r>
          </w:p>
        </w:tc>
      </w:tr>
      <w:tr>
        <w:trPr/>
        <w:tc>
          <w:tcPr>
            <w:tcW w:w="30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val="false"/>
                <w:color w:val="000000"/>
                <w:sz w:val="19"/>
              </w:rPr>
            </w:pPr>
            <w:r>
              <w:rPr>
                <w:rFonts w:ascii="Lato;sans-serif" w:hAnsi="Lato;sans-serif"/>
                <w:b w:val="false"/>
                <w:color w:val="000000"/>
                <w:sz w:val="19"/>
              </w:rPr>
              <w:t>(in millions)</w:t>
            </w:r>
          </w:p>
        </w:tc>
        <w:tc>
          <w:tcPr>
            <w:tcW w:w="1451" w:type="dxa"/>
            <w:gridSpan w:val="6"/>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2024</w:t>
            </w:r>
          </w:p>
        </w:tc>
        <w:tc>
          <w:tcPr>
            <w:tcW w:w="1482" w:type="dxa"/>
            <w:gridSpan w:val="6"/>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9"/>
              </w:rPr>
            </w:pPr>
            <w:r>
              <w:rPr>
                <w:rFonts w:ascii="Lato Bold;sans-serif" w:hAnsi="Lato Bold;sans-serif"/>
                <w:b/>
                <w:color w:val="000000"/>
                <w:sz w:val="19"/>
              </w:rPr>
              <w:t>2023</w:t>
            </w:r>
          </w:p>
        </w:tc>
      </w:tr>
      <w:tr>
        <w:trPr/>
        <w:tc>
          <w:tcPr>
            <w:tcW w:w="3089" w:type="dxa"/>
            <w:gridSpan w:val="3"/>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Cash Provided by Operations</w:t>
            </w:r>
          </w:p>
        </w:tc>
        <w:tc>
          <w:tcPr>
            <w:tcW w:w="342"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w:t>
            </w:r>
          </w:p>
        </w:tc>
        <w:tc>
          <w:tcPr>
            <w:tcW w:w="758"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3,234</w:t>
            </w:r>
            <w:r>
              <w:rPr>
                <w:color w:val="000000"/>
              </w:rPr>
              <w:t> </w:t>
            </w:r>
          </w:p>
        </w:tc>
        <w:tc>
          <w:tcPr>
            <w:tcW w:w="114"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46C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742" w:type="dxa"/>
            <w:tcBorders>
              <w:top w:val="single" w:sz="8" w:space="0" w:color="0046C8"/>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3,542 </w:t>
            </w:r>
          </w:p>
        </w:tc>
        <w:tc>
          <w:tcPr>
            <w:tcW w:w="161" w:type="dxa"/>
            <w:tcBorders>
              <w:top w:val="single" w:sz="8" w:space="0" w:color="0046C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Capital Expenditures</w:t>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 Bold;sans-serif" w:hAnsi="Lato Bold;sans-serif"/>
                <w:b/>
                <w:color w:val="000000"/>
                <w:sz w:val="18"/>
              </w:rPr>
            </w:pPr>
            <w:r>
              <w:rPr>
                <w:rFonts w:ascii="Lato Bold;sans-serif" w:hAnsi="Lato Bold;sans-serif"/>
                <w:b/>
                <w:color w:val="000000"/>
                <w:sz w:val="18"/>
              </w:rPr>
              <w:t>(721)</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(766)</w:t>
            </w:r>
          </w:p>
        </w:tc>
        <w:tc>
          <w:tcPr>
            <w:tcW w:w="1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Cash Restructuring Charges</w:t>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156</w:t>
            </w:r>
            <w:r>
              <w:rPr>
                <w:color w:val="000000"/>
              </w:rPr>
              <w:t> </w:t>
            </w:r>
          </w:p>
        </w:tc>
        <w:tc>
          <w:tcPr>
            <w:tcW w:w="114"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4" w:space="0" w:color="B3B3B3"/>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4" w:space="0" w:color="B3B3B3"/>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Adjusted Free Cash Flow</w:t>
            </w:r>
          </w:p>
        </w:tc>
        <w:tc>
          <w:tcPr>
            <w:tcW w:w="342"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 Bold;sans-serif" w:hAnsi="Lato Bold;sans-serif"/>
                <w:b/>
                <w:color w:val="000000"/>
                <w:sz w:val="18"/>
              </w:rPr>
            </w:pPr>
            <w:r>
              <w:rPr>
                <w:rFonts w:ascii="Lato Bold;sans-serif" w:hAnsi="Lato Bold;sans-serif"/>
                <w:b/>
                <w:color w:val="000000"/>
                <w:sz w:val="18"/>
              </w:rPr>
              <w:t>$</w:t>
            </w:r>
          </w:p>
        </w:tc>
        <w:tc>
          <w:tcPr>
            <w:tcW w:w="758"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pPr>
            <w:r>
              <w:rPr>
                <w:rFonts w:ascii="Lato Bold;sans-serif" w:hAnsi="Lato Bold;sans-serif"/>
                <w:b/>
                <w:color w:val="000000"/>
                <w:sz w:val="18"/>
              </w:rPr>
              <w:t>2,669</w:t>
            </w:r>
            <w:r>
              <w:rPr>
                <w:color w:val="000000"/>
              </w:rPr>
              <w:t> </w:t>
            </w:r>
          </w:p>
        </w:tc>
        <w:tc>
          <w:tcPr>
            <w:tcW w:w="114"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B3B3B3"/>
              <w:bottom w:val="single" w:sz="8" w:space="0" w:color="0046C8"/>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742"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2,776 </w:t>
            </w:r>
          </w:p>
        </w:tc>
        <w:tc>
          <w:tcPr>
            <w:tcW w:w="161" w:type="dxa"/>
            <w:tcBorders>
              <w:top w:val="single" w:sz="4" w:space="0" w:color="B3B3B3"/>
              <w:bottom w:val="single" w:sz="8" w:space="0" w:color="0046C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744855"/>
                <wp:effectExtent l="0" t="0" r="0" b="0"/>
                <wp:wrapNone/>
                <wp:docPr id="384" name="Frame110"/>
                <a:graphic xmlns:a="http://schemas.openxmlformats.org/drawingml/2006/main">
                  <a:graphicData uri="http://schemas.microsoft.com/office/word/2010/wordprocessingShape">
                    <wps:wsp>
                      <wps:cNvSpPr txBox="1"/>
                      <wps:spPr>
                        <a:xfrm>
                          <a:off x="0" y="0"/>
                          <a:ext cx="6480175" cy="744855"/>
                        </a:xfrm>
                        <a:prstGeom prst="rect"/>
                        <a:solidFill>
                          <a:srgbClr val="FFFFFF"/>
                        </a:solidFill>
                      </wps:spPr>
                      <wps:txbx>
                        <w:txbxContent>
                          <w:tbl>
                            <w:tblPr>
                              <w:tblW w:w="2654" w:type="dxa"/>
                              <w:jc w:val="left"/>
                              <w:tblInd w:w="0" w:type="dxa"/>
                              <w:tblLayout w:type="fixed"/>
                              <w:tblCellMar>
                                <w:top w:w="28" w:type="dxa"/>
                                <w:left w:w="28" w:type="dxa"/>
                                <w:bottom w:w="28" w:type="dxa"/>
                                <w:right w:w="28" w:type="dxa"/>
                              </w:tblCellMar>
                            </w:tblPr>
                            <w:tblGrid>
                              <w:gridCol w:w="787"/>
                              <w:gridCol w:w="692"/>
                              <w:gridCol w:w="696"/>
                              <w:gridCol w:w="140"/>
                              <w:gridCol w:w="140"/>
                              <w:gridCol w:w="199"/>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479" w:type="dxa"/>
                                  <w:gridSpan w:val="3"/>
                                  <w:tcBorders/>
                                  <w:tcMar>
                                    <w:top w:w="0" w:type="dxa"/>
                                    <w:left w:w="0" w:type="dxa"/>
                                    <w:bottom w:w="0" w:type="dxa"/>
                                    <w:right w:w="0" w:type="dxa"/>
                                  </w:tcMar>
                                  <w:vAlign w:val="center"/>
                                </w:tcPr>
                                <w:p>
                                  <w:pPr>
                                    <w:pStyle w:val="TableContents"/>
                                    <w:bidi w:val="0"/>
                                    <w:spacing w:lineRule="auto" w:line="312" w:before="120" w:after="120"/>
                                    <w:jc w:val="right"/>
                                    <w:rPr>
                                      <w:rFonts w:ascii="Lato Bold;sans-serif" w:hAnsi="Lato Bold;sans-serif"/>
                                      <w:b/>
                                      <w:color w:val="616161"/>
                                      <w:sz w:val="18"/>
                                    </w:rPr>
                                  </w:pPr>
                                  <w:r>
                                    <w:rPr>
                                      <w:rFonts w:ascii="Lato Bold;sans-serif" w:hAnsi="Lato Bold;sans-serif"/>
                                      <w:b/>
                                      <w:color w:val="616161"/>
                                      <w:sz w:val="18"/>
                                    </w:rPr>
                                    <w:t>A-3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65pt;mso-wrap-distance-left:0pt;mso-wrap-distance-right:0pt;mso-wrap-distance-top:0pt;mso-wrap-distance-bottom:0pt;margin-top:0pt;mso-position-vertical:top;mso-position-vertical-relative:text;margin-left:0pt;mso-position-horizontal:left;mso-position-horizontal-relative:text">
                <v:textbox>
                  <w:txbxContent>
                    <w:tbl>
                      <w:tblPr>
                        <w:tblW w:w="2654" w:type="dxa"/>
                        <w:jc w:val="left"/>
                        <w:tblInd w:w="0" w:type="dxa"/>
                        <w:tblLayout w:type="fixed"/>
                        <w:tblCellMar>
                          <w:top w:w="28" w:type="dxa"/>
                          <w:left w:w="28" w:type="dxa"/>
                          <w:bottom w:w="28" w:type="dxa"/>
                          <w:right w:w="28" w:type="dxa"/>
                        </w:tblCellMar>
                      </w:tblPr>
                      <w:tblGrid>
                        <w:gridCol w:w="787"/>
                        <w:gridCol w:w="692"/>
                        <w:gridCol w:w="696"/>
                        <w:gridCol w:w="140"/>
                        <w:gridCol w:w="140"/>
                        <w:gridCol w:w="199"/>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 Bold;sans-serif" w:hAnsi="Lato Bold;sans-serif"/>
                                <w:b/>
                                <w:color w:val="0046C8"/>
                                <w:sz w:val="18"/>
                              </w:rPr>
                              <w:t>2025</w:t>
                            </w:r>
                            <w:r>
                              <w:rPr>
                                <w:color w:val="000000"/>
                              </w:rPr>
                              <w:t xml:space="preserve"> </w:t>
                            </w:r>
                            <w:r>
                              <w:rPr>
                                <w:rFonts w:ascii="Lato;sans-serif" w:hAnsi="Lato;sans-serif"/>
                                <w:b w:val="false"/>
                                <w:color w:val="000000"/>
                                <w:sz w:val="18"/>
                              </w:rPr>
                              <w:t>Proxy Statement</w:t>
                            </w:r>
                          </w:p>
                        </w:tc>
                        <w:tc>
                          <w:tcPr>
                            <w:tcW w:w="479" w:type="dxa"/>
                            <w:gridSpan w:val="3"/>
                            <w:tcBorders/>
                            <w:tcMar>
                              <w:top w:w="0" w:type="dxa"/>
                              <w:left w:w="0" w:type="dxa"/>
                              <w:bottom w:w="0" w:type="dxa"/>
                              <w:right w:w="0" w:type="dxa"/>
                            </w:tcMar>
                            <w:vAlign w:val="center"/>
                          </w:tcPr>
                          <w:p>
                            <w:pPr>
                              <w:pStyle w:val="TableContents"/>
                              <w:bidi w:val="0"/>
                              <w:spacing w:lineRule="auto" w:line="312" w:before="120" w:after="120"/>
                              <w:jc w:val="right"/>
                              <w:rPr>
                                <w:rFonts w:ascii="Lato Bold;sans-serif" w:hAnsi="Lato Bold;sans-serif"/>
                                <w:b/>
                                <w:color w:val="616161"/>
                                <w:sz w:val="18"/>
                              </w:rPr>
                            </w:pPr>
                            <w:r>
                              <w:rPr>
                                <w:rFonts w:ascii="Lato Bold;sans-serif" w:hAnsi="Lato Bold;sans-serif"/>
                                <w:b/>
                                <w:color w:val="616161"/>
                                <w:sz w:val="18"/>
                              </w:rPr>
                              <w:t>A-3</w:t>
                            </w:r>
                          </w:p>
                        </w:tc>
                      </w:tr>
                    </w:tbl>
                    <w:p>
                      <w:pPr>
                        <w:pStyle w:val="TextBody"/>
                        <w:bidi w:val="0"/>
                        <w:spacing w:before="0" w:after="283"/>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0" w:after="0"/>
        <w:jc w:val="left"/>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120" w:after="120"/>
        <w:jc w:val="center"/>
        <w:rPr/>
      </w:pPr>
      <w:r>
        <w:rPr/>
      </w:r>
    </w:p>
    <w:p>
      <w:pPr>
        <w:pStyle w:val="TextBody"/>
        <w:bidi w:val="0"/>
        <w:spacing w:before="240" w:after="60"/>
        <w:jc w:val="right"/>
        <w:rPr/>
      </w:pPr>
      <w:r>
        <w:rPr/>
        <w:drawing>
          <wp:inline distT="0" distB="0" distL="0" distR="0">
            <wp:extent cx="1866900" cy="238125"/>
            <wp:effectExtent l="0" t="0" r="0" b="0"/>
            <wp:docPr id="385"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275" descr=""/>
                    <pic:cNvPicPr>
                      <a:picLocks noChangeAspect="1" noChangeArrowheads="1"/>
                    </pic:cNvPicPr>
                  </pic:nvPicPr>
                  <pic:blipFill>
                    <a:blip r:embed="rId276"/>
                    <a:stretch>
                      <a:fillRect/>
                    </a:stretch>
                  </pic:blipFill>
                  <pic:spPr bwMode="auto">
                    <a:xfrm>
                      <a:off x="0" y="0"/>
                      <a:ext cx="1866900" cy="238125"/>
                    </a:xfrm>
                    <a:prstGeom prst="rect">
                      <a:avLst/>
                    </a:prstGeom>
                  </pic:spPr>
                </pic:pic>
              </a:graphicData>
            </a:graphic>
          </wp:inline>
        </w:drawing>
      </w:r>
    </w:p>
    <w:p>
      <w:pPr>
        <w:pStyle w:val="TextBody"/>
        <w:bidi w:val="0"/>
        <w:spacing w:lineRule="auto" w:line="312" w:before="0" w:after="0"/>
        <w:jc w:val="right"/>
        <w:rPr>
          <w:rFonts w:ascii="Lato;sans-serif" w:hAnsi="Lato;sans-serif"/>
          <w:b w:val="false"/>
          <w:color w:val="000000"/>
          <w:sz w:val="19"/>
        </w:rPr>
      </w:pPr>
      <w:r>
        <w:rPr>
          <w:rFonts w:ascii="Lato;sans-serif" w:hAnsi="Lato;sans-serif"/>
          <w:b w:val="false"/>
          <w:color w:val="000000"/>
          <w:sz w:val="19"/>
        </w:rPr>
        <w:t>Invitation to Stockholders</w:t>
        <w:br/>
        <w:t>Notice of 2025 Annual Meeting</w:t>
        <w:br/>
        <w:t>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251460"/>
                <wp:effectExtent l="0" t="0" r="0" b="0"/>
                <wp:wrapNone/>
                <wp:docPr id="386" name="Frame11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center"/>
        <w:rPr/>
      </w:pPr>
      <w:r>
        <w:rPr/>
        <w:drawing>
          <wp:inline distT="0" distB="0" distL="0" distR="0">
            <wp:extent cx="7543800" cy="9753600"/>
            <wp:effectExtent l="0" t="0" r="0" b="0"/>
            <wp:docPr id="387"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276" descr=""/>
                    <pic:cNvPicPr>
                      <a:picLocks noChangeAspect="1" noChangeArrowheads="1"/>
                    </pic:cNvPicPr>
                  </pic:nvPicPr>
                  <pic:blipFill>
                    <a:blip r:embed="rId277"/>
                    <a:stretch>
                      <a:fillRect/>
                    </a:stretch>
                  </pic:blipFill>
                  <pic:spPr bwMode="auto">
                    <a:xfrm>
                      <a:off x="0" y="0"/>
                      <a:ext cx="7543800" cy="97536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251460"/>
                <wp:effectExtent l="0" t="0" r="0" b="0"/>
                <wp:wrapNone/>
                <wp:docPr id="388" name="Frame11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center"/>
        <w:rPr/>
      </w:pPr>
      <w:r>
        <w:rPr/>
        <w:drawing>
          <wp:inline distT="0" distB="0" distL="0" distR="0">
            <wp:extent cx="7543800" cy="9753600"/>
            <wp:effectExtent l="0" t="0" r="0" b="0"/>
            <wp:docPr id="389"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277" descr=""/>
                    <pic:cNvPicPr>
                      <a:picLocks noChangeAspect="1" noChangeArrowheads="1"/>
                    </pic:cNvPicPr>
                  </pic:nvPicPr>
                  <pic:blipFill>
                    <a:blip r:embed="rId278"/>
                    <a:stretch>
                      <a:fillRect/>
                    </a:stretch>
                  </pic:blipFill>
                  <pic:spPr bwMode="auto">
                    <a:xfrm>
                      <a:off x="0" y="0"/>
                      <a:ext cx="7543800" cy="97536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251460"/>
                <wp:effectExtent l="0" t="0" r="0" b="0"/>
                <wp:wrapNone/>
                <wp:docPr id="390" name="Frame11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ato">
    <w:altName w:val="sans-serif"/>
    <w:charset w:val="01"/>
    <w:family w:val="auto"/>
    <w:pitch w:val="default"/>
  </w:font>
  <w:font w:name="Lato Bold">
    <w:altName w:val="sans-serif"/>
    <w:charset w:val="01"/>
    <w:family w:val="auto"/>
    <w:pitch w:val="default"/>
  </w:font>
  <w:font w:name="Gilroy Bold">
    <w:altName w:val="sans-serif"/>
    <w:charset w:val="01"/>
    <w:family w:val="auto"/>
    <w:pitch w:val="default"/>
  </w:font>
  <w:font w:name="Gilroy Regular">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5.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5.jpeg"/><Relationship Id="rId14" Type="http://schemas.openxmlformats.org/officeDocument/2006/relationships/image" Target="media/image5.jpeg"/><Relationship Id="rId15" Type="http://schemas.openxmlformats.org/officeDocument/2006/relationships/image" Target="media/image5.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5.jpeg"/><Relationship Id="rId31" Type="http://schemas.openxmlformats.org/officeDocument/2006/relationships/image" Target="media/image25.jpeg"/><Relationship Id="rId32" Type="http://schemas.openxmlformats.org/officeDocument/2006/relationships/image" Target="media/image25.jpeg"/><Relationship Id="rId33" Type="http://schemas.openxmlformats.org/officeDocument/2006/relationships/image" Target="media/image25.jpeg"/><Relationship Id="rId34" Type="http://schemas.openxmlformats.org/officeDocument/2006/relationships/image" Target="media/image25.jpeg"/><Relationship Id="rId35" Type="http://schemas.openxmlformats.org/officeDocument/2006/relationships/image" Target="media/image25.jpeg"/><Relationship Id="rId36" Type="http://schemas.openxmlformats.org/officeDocument/2006/relationships/image" Target="media/image25.jpeg"/><Relationship Id="rId37" Type="http://schemas.openxmlformats.org/officeDocument/2006/relationships/image" Target="media/image25.jpeg"/><Relationship Id="rId38" Type="http://schemas.openxmlformats.org/officeDocument/2006/relationships/image" Target="media/image25.jpeg"/><Relationship Id="rId39" Type="http://schemas.openxmlformats.org/officeDocument/2006/relationships/image" Target="media/image25.jpeg"/><Relationship Id="rId40" Type="http://schemas.openxmlformats.org/officeDocument/2006/relationships/image" Target="media/image25.jpeg"/><Relationship Id="rId41" Type="http://schemas.openxmlformats.org/officeDocument/2006/relationships/image" Target="media/image25.jpeg"/><Relationship Id="rId42" Type="http://schemas.openxmlformats.org/officeDocument/2006/relationships/image" Target="media/image25.jpeg"/><Relationship Id="rId43" Type="http://schemas.openxmlformats.org/officeDocument/2006/relationships/image" Target="media/image25.jpeg"/><Relationship Id="rId44" Type="http://schemas.openxmlformats.org/officeDocument/2006/relationships/image" Target="media/image25.jpeg"/><Relationship Id="rId45" Type="http://schemas.openxmlformats.org/officeDocument/2006/relationships/image" Target="media/image25.jpeg"/><Relationship Id="rId46" Type="http://schemas.openxmlformats.org/officeDocument/2006/relationships/image" Target="media/image25.jpeg"/><Relationship Id="rId47" Type="http://schemas.openxmlformats.org/officeDocument/2006/relationships/image" Target="media/image25.jpeg"/><Relationship Id="rId48" Type="http://schemas.openxmlformats.org/officeDocument/2006/relationships/image" Target="media/image25.jpeg"/><Relationship Id="rId49" Type="http://schemas.openxmlformats.org/officeDocument/2006/relationships/image" Target="media/image25.jpeg"/><Relationship Id="rId50" Type="http://schemas.openxmlformats.org/officeDocument/2006/relationships/image" Target="media/image25.jpeg"/><Relationship Id="rId51" Type="http://schemas.openxmlformats.org/officeDocument/2006/relationships/image" Target="media/image25.jpeg"/><Relationship Id="rId52" Type="http://schemas.openxmlformats.org/officeDocument/2006/relationships/image" Target="media/image25.jpeg"/><Relationship Id="rId53" Type="http://schemas.openxmlformats.org/officeDocument/2006/relationships/image" Target="media/image25.jpeg"/><Relationship Id="rId54" Type="http://schemas.openxmlformats.org/officeDocument/2006/relationships/image" Target="media/image25.jpeg"/><Relationship Id="rId55" Type="http://schemas.openxmlformats.org/officeDocument/2006/relationships/image" Target="media/image25.jpeg"/><Relationship Id="rId56" Type="http://schemas.openxmlformats.org/officeDocument/2006/relationships/image" Target="media/image25.jpeg"/><Relationship Id="rId57" Type="http://schemas.openxmlformats.org/officeDocument/2006/relationships/image" Target="media/image25.jpeg"/><Relationship Id="rId58" Type="http://schemas.openxmlformats.org/officeDocument/2006/relationships/image" Target="media/image25.jpeg"/><Relationship Id="rId59" Type="http://schemas.openxmlformats.org/officeDocument/2006/relationships/image" Target="media/image25.jpeg"/><Relationship Id="rId60" Type="http://schemas.openxmlformats.org/officeDocument/2006/relationships/image" Target="media/image25.jpeg"/><Relationship Id="rId61" Type="http://schemas.openxmlformats.org/officeDocument/2006/relationships/image" Target="media/image25.jpeg"/><Relationship Id="rId62" Type="http://schemas.openxmlformats.org/officeDocument/2006/relationships/image" Target="media/image25.jpeg"/><Relationship Id="rId63" Type="http://schemas.openxmlformats.org/officeDocument/2006/relationships/image" Target="media/image25.jpeg"/><Relationship Id="rId64" Type="http://schemas.openxmlformats.org/officeDocument/2006/relationships/image" Target="media/image25.jpeg"/><Relationship Id="rId65" Type="http://schemas.openxmlformats.org/officeDocument/2006/relationships/image" Target="media/image25.jpeg"/><Relationship Id="rId66" Type="http://schemas.openxmlformats.org/officeDocument/2006/relationships/image" Target="media/image25.jpeg"/><Relationship Id="rId67" Type="http://schemas.openxmlformats.org/officeDocument/2006/relationships/image" Target="media/image25.jpeg"/><Relationship Id="rId68" Type="http://schemas.openxmlformats.org/officeDocument/2006/relationships/image" Target="media/image25.jpeg"/><Relationship Id="rId69" Type="http://schemas.openxmlformats.org/officeDocument/2006/relationships/image" Target="media/image25.jpeg"/><Relationship Id="rId70" Type="http://schemas.openxmlformats.org/officeDocument/2006/relationships/image" Target="media/image25.jpeg"/><Relationship Id="rId71" Type="http://schemas.openxmlformats.org/officeDocument/2006/relationships/image" Target="media/image25.jpeg"/><Relationship Id="rId72" Type="http://schemas.openxmlformats.org/officeDocument/2006/relationships/image" Target="media/image25.jpeg"/><Relationship Id="rId73" Type="http://schemas.openxmlformats.org/officeDocument/2006/relationships/image" Target="media/image25.jpeg"/><Relationship Id="rId74" Type="http://schemas.openxmlformats.org/officeDocument/2006/relationships/image" Target="media/image25.jpeg"/><Relationship Id="rId75" Type="http://schemas.openxmlformats.org/officeDocument/2006/relationships/image" Target="media/image25.jpeg"/><Relationship Id="rId76" Type="http://schemas.openxmlformats.org/officeDocument/2006/relationships/image" Target="media/image25.jpeg"/><Relationship Id="rId77" Type="http://schemas.openxmlformats.org/officeDocument/2006/relationships/image" Target="media/image25.jpeg"/><Relationship Id="rId78" Type="http://schemas.openxmlformats.org/officeDocument/2006/relationships/image" Target="media/image25.jpeg"/><Relationship Id="rId79" Type="http://schemas.openxmlformats.org/officeDocument/2006/relationships/image" Target="media/image25.jpeg"/><Relationship Id="rId80" Type="http://schemas.openxmlformats.org/officeDocument/2006/relationships/image" Target="media/image25.jpeg"/><Relationship Id="rId81" Type="http://schemas.openxmlformats.org/officeDocument/2006/relationships/image" Target="media/image25.jpeg"/><Relationship Id="rId82" Type="http://schemas.openxmlformats.org/officeDocument/2006/relationships/image" Target="media/image25.jpeg"/><Relationship Id="rId83" Type="http://schemas.openxmlformats.org/officeDocument/2006/relationships/image" Target="media/image25.jpeg"/><Relationship Id="rId84" Type="http://schemas.openxmlformats.org/officeDocument/2006/relationships/image" Target="media/image25.jpeg"/><Relationship Id="rId85" Type="http://schemas.openxmlformats.org/officeDocument/2006/relationships/image" Target="media/image25.jpeg"/><Relationship Id="rId86" Type="http://schemas.openxmlformats.org/officeDocument/2006/relationships/image" Target="media/image25.jpeg"/><Relationship Id="rId87" Type="http://schemas.openxmlformats.org/officeDocument/2006/relationships/image" Target="media/image25.jpeg"/><Relationship Id="rId88" Type="http://schemas.openxmlformats.org/officeDocument/2006/relationships/image" Target="media/image5.jpeg"/><Relationship Id="rId89" Type="http://schemas.openxmlformats.org/officeDocument/2006/relationships/image" Target="media/image5.jpeg"/><Relationship Id="rId90" Type="http://schemas.openxmlformats.org/officeDocument/2006/relationships/image" Target="media/image5.jpeg"/><Relationship Id="rId91" Type="http://schemas.openxmlformats.org/officeDocument/2006/relationships/image" Target="media/image11.jpeg"/><Relationship Id="rId92" Type="http://schemas.openxmlformats.org/officeDocument/2006/relationships/image" Target="media/image5.jpeg"/><Relationship Id="rId93" Type="http://schemas.openxmlformats.org/officeDocument/2006/relationships/image" Target="media/image11.jpeg"/><Relationship Id="rId94" Type="http://schemas.openxmlformats.org/officeDocument/2006/relationships/image" Target="media/image26.jpeg"/><Relationship Id="rId95" Type="http://schemas.openxmlformats.org/officeDocument/2006/relationships/image" Target="media/image27.jpeg"/><Relationship Id="rId96" Type="http://schemas.openxmlformats.org/officeDocument/2006/relationships/image" Target="media/image28.jpeg"/><Relationship Id="rId97" Type="http://schemas.openxmlformats.org/officeDocument/2006/relationships/image" Target="media/image29.jpeg"/><Relationship Id="rId98" Type="http://schemas.openxmlformats.org/officeDocument/2006/relationships/image" Target="media/image30.jpeg"/><Relationship Id="rId99" Type="http://schemas.openxmlformats.org/officeDocument/2006/relationships/image" Target="media/image5.jpeg"/><Relationship Id="rId100" Type="http://schemas.openxmlformats.org/officeDocument/2006/relationships/image" Target="media/image31.jpeg"/><Relationship Id="rId101" Type="http://schemas.openxmlformats.org/officeDocument/2006/relationships/image" Target="media/image31.jpeg"/><Relationship Id="rId102" Type="http://schemas.openxmlformats.org/officeDocument/2006/relationships/image" Target="media/image31.jpeg"/><Relationship Id="rId103" Type="http://schemas.openxmlformats.org/officeDocument/2006/relationships/image" Target="media/image31.jpeg"/><Relationship Id="rId104" Type="http://schemas.openxmlformats.org/officeDocument/2006/relationships/image" Target="media/image31.jpeg"/><Relationship Id="rId105" Type="http://schemas.openxmlformats.org/officeDocument/2006/relationships/image" Target="media/image31.jpeg"/><Relationship Id="rId106" Type="http://schemas.openxmlformats.org/officeDocument/2006/relationships/image" Target="media/image32.jpeg"/><Relationship Id="rId107" Type="http://schemas.openxmlformats.org/officeDocument/2006/relationships/image" Target="media/image32.jpeg"/><Relationship Id="rId108" Type="http://schemas.openxmlformats.org/officeDocument/2006/relationships/image" Target="media/image32.jpeg"/><Relationship Id="rId109" Type="http://schemas.openxmlformats.org/officeDocument/2006/relationships/image" Target="media/image32.jpeg"/><Relationship Id="rId110" Type="http://schemas.openxmlformats.org/officeDocument/2006/relationships/image" Target="media/image5.jpeg"/><Relationship Id="rId111" Type="http://schemas.openxmlformats.org/officeDocument/2006/relationships/image" Target="media/image5.jpeg"/><Relationship Id="rId112" Type="http://schemas.openxmlformats.org/officeDocument/2006/relationships/image" Target="media/image5.jpeg"/><Relationship Id="rId113" Type="http://schemas.openxmlformats.org/officeDocument/2006/relationships/image" Target="media/image5.jpeg"/><Relationship Id="rId114" Type="http://schemas.openxmlformats.org/officeDocument/2006/relationships/image" Target="media/image5.jpeg"/><Relationship Id="rId115" Type="http://schemas.openxmlformats.org/officeDocument/2006/relationships/image" Target="media/image5.jpeg"/><Relationship Id="rId116" Type="http://schemas.openxmlformats.org/officeDocument/2006/relationships/image" Target="media/image5.jpeg"/><Relationship Id="rId117" Type="http://schemas.openxmlformats.org/officeDocument/2006/relationships/image" Target="media/image5.jpeg"/><Relationship Id="rId118" Type="http://schemas.openxmlformats.org/officeDocument/2006/relationships/image" Target="media/image5.jpeg"/><Relationship Id="rId119" Type="http://schemas.openxmlformats.org/officeDocument/2006/relationships/image" Target="media/image5.jpeg"/><Relationship Id="rId120" Type="http://schemas.openxmlformats.org/officeDocument/2006/relationships/image" Target="media/image33.jpeg"/><Relationship Id="rId121" Type="http://schemas.openxmlformats.org/officeDocument/2006/relationships/image" Target="media/image34.jpeg"/><Relationship Id="rId122" Type="http://schemas.openxmlformats.org/officeDocument/2006/relationships/image" Target="media/image35.jpeg"/><Relationship Id="rId123" Type="http://schemas.openxmlformats.org/officeDocument/2006/relationships/image" Target="media/image36.jpeg"/><Relationship Id="rId124" Type="http://schemas.openxmlformats.org/officeDocument/2006/relationships/image" Target="media/image37.jpeg"/><Relationship Id="rId125" Type="http://schemas.openxmlformats.org/officeDocument/2006/relationships/image" Target="media/image5.jpeg"/><Relationship Id="rId126" Type="http://schemas.openxmlformats.org/officeDocument/2006/relationships/image" Target="media/image5.jpeg"/><Relationship Id="rId127" Type="http://schemas.openxmlformats.org/officeDocument/2006/relationships/image" Target="media/image5.jpeg"/><Relationship Id="rId128" Type="http://schemas.openxmlformats.org/officeDocument/2006/relationships/image" Target="media/image5.jpeg"/><Relationship Id="rId129" Type="http://schemas.openxmlformats.org/officeDocument/2006/relationships/image" Target="media/image5.jpeg"/><Relationship Id="rId130" Type="http://schemas.openxmlformats.org/officeDocument/2006/relationships/image" Target="media/image38.jpeg"/><Relationship Id="rId131" Type="http://schemas.openxmlformats.org/officeDocument/2006/relationships/image" Target="media/image38.jpeg"/><Relationship Id="rId132" Type="http://schemas.openxmlformats.org/officeDocument/2006/relationships/image" Target="media/image38.jpeg"/><Relationship Id="rId133" Type="http://schemas.openxmlformats.org/officeDocument/2006/relationships/image" Target="media/image38.jpeg"/><Relationship Id="rId134" Type="http://schemas.openxmlformats.org/officeDocument/2006/relationships/image" Target="media/image38.jpeg"/><Relationship Id="rId135" Type="http://schemas.openxmlformats.org/officeDocument/2006/relationships/image" Target="media/image38.jpeg"/><Relationship Id="rId136" Type="http://schemas.openxmlformats.org/officeDocument/2006/relationships/image" Target="media/image5.jpeg"/><Relationship Id="rId137" Type="http://schemas.openxmlformats.org/officeDocument/2006/relationships/image" Target="media/image5.jpeg"/><Relationship Id="rId138" Type="http://schemas.openxmlformats.org/officeDocument/2006/relationships/image" Target="media/image5.jpeg"/><Relationship Id="rId139" Type="http://schemas.openxmlformats.org/officeDocument/2006/relationships/image" Target="media/image39.jpeg"/><Relationship Id="rId140" Type="http://schemas.openxmlformats.org/officeDocument/2006/relationships/image" Target="media/image39.jpeg"/><Relationship Id="rId141" Type="http://schemas.openxmlformats.org/officeDocument/2006/relationships/image" Target="media/image5.jpeg"/><Relationship Id="rId142" Type="http://schemas.openxmlformats.org/officeDocument/2006/relationships/image" Target="media/image5.jpeg"/><Relationship Id="rId143" Type="http://schemas.openxmlformats.org/officeDocument/2006/relationships/image" Target="media/image40.jpeg"/><Relationship Id="rId144" Type="http://schemas.openxmlformats.org/officeDocument/2006/relationships/image" Target="media/image41.jpeg"/><Relationship Id="rId145" Type="http://schemas.openxmlformats.org/officeDocument/2006/relationships/image" Target="media/image42.jpeg"/><Relationship Id="rId146" Type="http://schemas.openxmlformats.org/officeDocument/2006/relationships/image" Target="media/image43.jpeg"/><Relationship Id="rId147" Type="http://schemas.openxmlformats.org/officeDocument/2006/relationships/image" Target="media/image44.jpeg"/><Relationship Id="rId148" Type="http://schemas.openxmlformats.org/officeDocument/2006/relationships/image" Target="media/image45.jpeg"/><Relationship Id="rId149" Type="http://schemas.openxmlformats.org/officeDocument/2006/relationships/image" Target="media/image46.jpeg"/><Relationship Id="rId150" Type="http://schemas.openxmlformats.org/officeDocument/2006/relationships/image" Target="media/image47.jpeg"/><Relationship Id="rId151" Type="http://schemas.openxmlformats.org/officeDocument/2006/relationships/image" Target="media/image48.jpeg"/><Relationship Id="rId152" Type="http://schemas.openxmlformats.org/officeDocument/2006/relationships/image" Target="media/image49.jpeg"/><Relationship Id="rId153" Type="http://schemas.openxmlformats.org/officeDocument/2006/relationships/image" Target="media/image50.jpeg"/><Relationship Id="rId154" Type="http://schemas.openxmlformats.org/officeDocument/2006/relationships/image" Target="media/image51.jpeg"/><Relationship Id="rId155" Type="http://schemas.openxmlformats.org/officeDocument/2006/relationships/image" Target="media/image52.jpeg"/><Relationship Id="rId156" Type="http://schemas.openxmlformats.org/officeDocument/2006/relationships/image" Target="media/image43.jpeg"/><Relationship Id="rId157" Type="http://schemas.openxmlformats.org/officeDocument/2006/relationships/image" Target="media/image53.jpeg"/><Relationship Id="rId158" Type="http://schemas.openxmlformats.org/officeDocument/2006/relationships/image" Target="media/image47.jpeg"/><Relationship Id="rId159" Type="http://schemas.openxmlformats.org/officeDocument/2006/relationships/image" Target="media/image54.jpeg"/><Relationship Id="rId160" Type="http://schemas.openxmlformats.org/officeDocument/2006/relationships/image" Target="media/image43.jpeg"/><Relationship Id="rId161" Type="http://schemas.openxmlformats.org/officeDocument/2006/relationships/image" Target="media/image55.jpeg"/><Relationship Id="rId162" Type="http://schemas.openxmlformats.org/officeDocument/2006/relationships/image" Target="media/image56.jpeg"/><Relationship Id="rId163" Type="http://schemas.openxmlformats.org/officeDocument/2006/relationships/image" Target="media/image57.jpeg"/><Relationship Id="rId164" Type="http://schemas.openxmlformats.org/officeDocument/2006/relationships/image" Target="media/image43.jpeg"/><Relationship Id="rId165" Type="http://schemas.openxmlformats.org/officeDocument/2006/relationships/image" Target="media/image58.jpeg"/><Relationship Id="rId166" Type="http://schemas.openxmlformats.org/officeDocument/2006/relationships/image" Target="media/image51.jpeg"/><Relationship Id="rId167" Type="http://schemas.openxmlformats.org/officeDocument/2006/relationships/image" Target="media/image5.jpeg"/><Relationship Id="rId168" Type="http://schemas.openxmlformats.org/officeDocument/2006/relationships/image" Target="media/image59.jpeg"/><Relationship Id="rId169" Type="http://schemas.openxmlformats.org/officeDocument/2006/relationships/image" Target="media/image5.jpeg"/><Relationship Id="rId170" Type="http://schemas.openxmlformats.org/officeDocument/2006/relationships/image" Target="media/image60.jpeg"/><Relationship Id="rId171" Type="http://schemas.openxmlformats.org/officeDocument/2006/relationships/image" Target="media/image5.jpeg"/><Relationship Id="rId172" Type="http://schemas.openxmlformats.org/officeDocument/2006/relationships/image" Target="media/image61.jpeg"/><Relationship Id="rId173" Type="http://schemas.openxmlformats.org/officeDocument/2006/relationships/image" Target="media/image5.jpeg"/><Relationship Id="rId174" Type="http://schemas.openxmlformats.org/officeDocument/2006/relationships/image" Target="media/image62.jpeg"/><Relationship Id="rId175" Type="http://schemas.openxmlformats.org/officeDocument/2006/relationships/image" Target="media/image5.jpeg"/><Relationship Id="rId176" Type="http://schemas.openxmlformats.org/officeDocument/2006/relationships/image" Target="media/image63.jpeg"/><Relationship Id="rId177" Type="http://schemas.openxmlformats.org/officeDocument/2006/relationships/image" Target="media/image5.jpeg"/><Relationship Id="rId178" Type="http://schemas.openxmlformats.org/officeDocument/2006/relationships/image" Target="media/image64.jpeg"/><Relationship Id="rId179" Type="http://schemas.openxmlformats.org/officeDocument/2006/relationships/image" Target="media/image5.jpeg"/><Relationship Id="rId180" Type="http://schemas.openxmlformats.org/officeDocument/2006/relationships/image" Target="media/image65.jpeg"/><Relationship Id="rId181" Type="http://schemas.openxmlformats.org/officeDocument/2006/relationships/image" Target="media/image5.jpeg"/><Relationship Id="rId182" Type="http://schemas.openxmlformats.org/officeDocument/2006/relationships/image" Target="media/image66.jpeg"/><Relationship Id="rId183" Type="http://schemas.openxmlformats.org/officeDocument/2006/relationships/image" Target="media/image67.jpeg"/><Relationship Id="rId184" Type="http://schemas.openxmlformats.org/officeDocument/2006/relationships/image" Target="media/image5.jpeg"/><Relationship Id="rId185" Type="http://schemas.openxmlformats.org/officeDocument/2006/relationships/image" Target="media/image68.jpeg"/><Relationship Id="rId186" Type="http://schemas.openxmlformats.org/officeDocument/2006/relationships/image" Target="media/image22.jpeg"/><Relationship Id="rId187" Type="http://schemas.openxmlformats.org/officeDocument/2006/relationships/image" Target="media/image5.jpeg"/><Relationship Id="rId188" Type="http://schemas.openxmlformats.org/officeDocument/2006/relationships/image" Target="media/image69.jpeg"/><Relationship Id="rId189" Type="http://schemas.openxmlformats.org/officeDocument/2006/relationships/image" Target="media/image5.jpeg"/><Relationship Id="rId190" Type="http://schemas.openxmlformats.org/officeDocument/2006/relationships/image" Target="media/image70.jpeg"/><Relationship Id="rId191" Type="http://schemas.openxmlformats.org/officeDocument/2006/relationships/image" Target="media/image5.jpeg"/><Relationship Id="rId192" Type="http://schemas.openxmlformats.org/officeDocument/2006/relationships/image" Target="media/image71.jpeg"/><Relationship Id="rId193" Type="http://schemas.openxmlformats.org/officeDocument/2006/relationships/image" Target="media/image5.jpeg"/><Relationship Id="rId194" Type="http://schemas.openxmlformats.org/officeDocument/2006/relationships/image" Target="media/image5.jpeg"/><Relationship Id="rId195" Type="http://schemas.openxmlformats.org/officeDocument/2006/relationships/image" Target="media/image5.jpeg"/><Relationship Id="rId196" Type="http://schemas.openxmlformats.org/officeDocument/2006/relationships/image" Target="media/image5.jpeg"/><Relationship Id="rId197" Type="http://schemas.openxmlformats.org/officeDocument/2006/relationships/image" Target="media/image5.jpeg"/><Relationship Id="rId198" Type="http://schemas.openxmlformats.org/officeDocument/2006/relationships/image" Target="media/image5.jpeg"/><Relationship Id="rId199" Type="http://schemas.openxmlformats.org/officeDocument/2006/relationships/image" Target="media/image5.jpeg"/><Relationship Id="rId200" Type="http://schemas.openxmlformats.org/officeDocument/2006/relationships/image" Target="media/image5.jpeg"/><Relationship Id="rId201" Type="http://schemas.openxmlformats.org/officeDocument/2006/relationships/image" Target="media/image5.jpeg"/><Relationship Id="rId202" Type="http://schemas.openxmlformats.org/officeDocument/2006/relationships/image" Target="media/image72.jpeg"/><Relationship Id="rId203" Type="http://schemas.openxmlformats.org/officeDocument/2006/relationships/image" Target="media/image73.jpeg"/><Relationship Id="rId204" Type="http://schemas.openxmlformats.org/officeDocument/2006/relationships/image" Target="media/image5.jpeg"/><Relationship Id="rId205" Type="http://schemas.openxmlformats.org/officeDocument/2006/relationships/image" Target="media/image74.jpeg"/><Relationship Id="rId206" Type="http://schemas.openxmlformats.org/officeDocument/2006/relationships/image" Target="media/image5.jpeg"/><Relationship Id="rId207" Type="http://schemas.openxmlformats.org/officeDocument/2006/relationships/image" Target="media/image5.jpeg"/><Relationship Id="rId208" Type="http://schemas.openxmlformats.org/officeDocument/2006/relationships/image" Target="media/image5.jpeg"/><Relationship Id="rId209" Type="http://schemas.openxmlformats.org/officeDocument/2006/relationships/image" Target="media/image5.jpeg"/><Relationship Id="rId210" Type="http://schemas.openxmlformats.org/officeDocument/2006/relationships/image" Target="media/image5.jpeg"/><Relationship Id="rId211" Type="http://schemas.openxmlformats.org/officeDocument/2006/relationships/image" Target="media/image5.jpeg"/><Relationship Id="rId212" Type="http://schemas.openxmlformats.org/officeDocument/2006/relationships/image" Target="media/image75.jpeg"/><Relationship Id="rId213" Type="http://schemas.openxmlformats.org/officeDocument/2006/relationships/image" Target="media/image76.jpeg"/><Relationship Id="rId214" Type="http://schemas.openxmlformats.org/officeDocument/2006/relationships/image" Target="media/image77.jpeg"/><Relationship Id="rId215" Type="http://schemas.openxmlformats.org/officeDocument/2006/relationships/image" Target="media/image78.jpeg"/><Relationship Id="rId216" Type="http://schemas.openxmlformats.org/officeDocument/2006/relationships/image" Target="media/image5.jpeg"/><Relationship Id="rId217" Type="http://schemas.openxmlformats.org/officeDocument/2006/relationships/image" Target="media/image5.jpeg"/><Relationship Id="rId218" Type="http://schemas.openxmlformats.org/officeDocument/2006/relationships/image" Target="media/image5.jpeg"/><Relationship Id="rId219" Type="http://schemas.openxmlformats.org/officeDocument/2006/relationships/image" Target="media/image5.jpeg"/><Relationship Id="rId220" Type="http://schemas.openxmlformats.org/officeDocument/2006/relationships/image" Target="media/image5.jpeg"/><Relationship Id="rId221" Type="http://schemas.openxmlformats.org/officeDocument/2006/relationships/image" Target="media/image5.jpeg"/><Relationship Id="rId222" Type="http://schemas.openxmlformats.org/officeDocument/2006/relationships/image" Target="media/image5.jpeg"/><Relationship Id="rId223" Type="http://schemas.openxmlformats.org/officeDocument/2006/relationships/image" Target="media/image5.jpeg"/><Relationship Id="rId224" Type="http://schemas.openxmlformats.org/officeDocument/2006/relationships/image" Target="media/image5.jpeg"/><Relationship Id="rId225" Type="http://schemas.openxmlformats.org/officeDocument/2006/relationships/image" Target="media/image5.jpeg"/><Relationship Id="rId226" Type="http://schemas.openxmlformats.org/officeDocument/2006/relationships/image" Target="media/image5.jpeg"/><Relationship Id="rId227" Type="http://schemas.openxmlformats.org/officeDocument/2006/relationships/image" Target="media/image5.jpeg"/><Relationship Id="rId228" Type="http://schemas.openxmlformats.org/officeDocument/2006/relationships/image" Target="media/image5.jpeg"/><Relationship Id="rId229" Type="http://schemas.openxmlformats.org/officeDocument/2006/relationships/image" Target="media/image5.jpeg"/><Relationship Id="rId230" Type="http://schemas.openxmlformats.org/officeDocument/2006/relationships/image" Target="media/image5.jpeg"/><Relationship Id="rId231" Type="http://schemas.openxmlformats.org/officeDocument/2006/relationships/image" Target="media/image5.jpeg"/><Relationship Id="rId232" Type="http://schemas.openxmlformats.org/officeDocument/2006/relationships/image" Target="media/image5.jpeg"/><Relationship Id="rId233" Type="http://schemas.openxmlformats.org/officeDocument/2006/relationships/image" Target="media/image5.jpeg"/><Relationship Id="rId234" Type="http://schemas.openxmlformats.org/officeDocument/2006/relationships/image" Target="media/image5.jpeg"/><Relationship Id="rId235" Type="http://schemas.openxmlformats.org/officeDocument/2006/relationships/image" Target="media/image5.jpeg"/><Relationship Id="rId236" Type="http://schemas.openxmlformats.org/officeDocument/2006/relationships/image" Target="media/image5.jpeg"/><Relationship Id="rId237" Type="http://schemas.openxmlformats.org/officeDocument/2006/relationships/image" Target="media/image5.jpeg"/><Relationship Id="rId238" Type="http://schemas.openxmlformats.org/officeDocument/2006/relationships/image" Target="media/image5.jpeg"/><Relationship Id="rId239" Type="http://schemas.openxmlformats.org/officeDocument/2006/relationships/image" Target="media/image5.jpeg"/><Relationship Id="rId240" Type="http://schemas.openxmlformats.org/officeDocument/2006/relationships/image" Target="media/image5.jpeg"/><Relationship Id="rId241" Type="http://schemas.openxmlformats.org/officeDocument/2006/relationships/image" Target="media/image5.jpeg"/><Relationship Id="rId242" Type="http://schemas.openxmlformats.org/officeDocument/2006/relationships/image" Target="media/image5.jpeg"/><Relationship Id="rId243" Type="http://schemas.openxmlformats.org/officeDocument/2006/relationships/image" Target="media/image5.jpeg"/><Relationship Id="rId244" Type="http://schemas.openxmlformats.org/officeDocument/2006/relationships/image" Target="media/image5.jpeg"/><Relationship Id="rId245" Type="http://schemas.openxmlformats.org/officeDocument/2006/relationships/image" Target="media/image5.jpeg"/><Relationship Id="rId246" Type="http://schemas.openxmlformats.org/officeDocument/2006/relationships/image" Target="media/image5.jpeg"/><Relationship Id="rId247" Type="http://schemas.openxmlformats.org/officeDocument/2006/relationships/image" Target="media/image5.jpeg"/><Relationship Id="rId248" Type="http://schemas.openxmlformats.org/officeDocument/2006/relationships/image" Target="media/image5.jpeg"/><Relationship Id="rId249" Type="http://schemas.openxmlformats.org/officeDocument/2006/relationships/image" Target="media/image5.jpeg"/><Relationship Id="rId250" Type="http://schemas.openxmlformats.org/officeDocument/2006/relationships/image" Target="media/image5.jpeg"/><Relationship Id="rId251" Type="http://schemas.openxmlformats.org/officeDocument/2006/relationships/image" Target="media/image79.jpeg"/><Relationship Id="rId252" Type="http://schemas.openxmlformats.org/officeDocument/2006/relationships/image" Target="media/image80.jpeg"/><Relationship Id="rId253" Type="http://schemas.openxmlformats.org/officeDocument/2006/relationships/image" Target="media/image81.jpeg"/><Relationship Id="rId254" Type="http://schemas.openxmlformats.org/officeDocument/2006/relationships/image" Target="media/image82.jpeg"/><Relationship Id="rId255" Type="http://schemas.openxmlformats.org/officeDocument/2006/relationships/image" Target="media/image83.jpeg"/><Relationship Id="rId256" Type="http://schemas.openxmlformats.org/officeDocument/2006/relationships/image" Target="media/image5.jpeg"/><Relationship Id="rId257" Type="http://schemas.openxmlformats.org/officeDocument/2006/relationships/image" Target="media/image84.jpeg"/><Relationship Id="rId258" Type="http://schemas.openxmlformats.org/officeDocument/2006/relationships/image" Target="media/image80.jpeg"/><Relationship Id="rId259" Type="http://schemas.openxmlformats.org/officeDocument/2006/relationships/image" Target="media/image81.jpeg"/><Relationship Id="rId260" Type="http://schemas.openxmlformats.org/officeDocument/2006/relationships/image" Target="media/image83.jpeg"/><Relationship Id="rId261" Type="http://schemas.openxmlformats.org/officeDocument/2006/relationships/image" Target="media/image85.jpeg"/><Relationship Id="rId262" Type="http://schemas.openxmlformats.org/officeDocument/2006/relationships/image" Target="media/image80.jpeg"/><Relationship Id="rId263" Type="http://schemas.openxmlformats.org/officeDocument/2006/relationships/image" Target="media/image81.jpeg"/><Relationship Id="rId264" Type="http://schemas.openxmlformats.org/officeDocument/2006/relationships/image" Target="media/image83.jpeg"/><Relationship Id="rId265" Type="http://schemas.openxmlformats.org/officeDocument/2006/relationships/image" Target="media/image5.jpeg"/><Relationship Id="rId266" Type="http://schemas.openxmlformats.org/officeDocument/2006/relationships/image" Target="media/image5.jpeg"/><Relationship Id="rId267" Type="http://schemas.openxmlformats.org/officeDocument/2006/relationships/image" Target="media/image5.jpeg"/><Relationship Id="rId268" Type="http://schemas.openxmlformats.org/officeDocument/2006/relationships/image" Target="media/image5.jpeg"/><Relationship Id="rId269" Type="http://schemas.openxmlformats.org/officeDocument/2006/relationships/image" Target="media/image5.jpeg"/><Relationship Id="rId270" Type="http://schemas.openxmlformats.org/officeDocument/2006/relationships/image" Target="media/image5.jpeg"/><Relationship Id="rId271" Type="http://schemas.openxmlformats.org/officeDocument/2006/relationships/image" Target="media/image5.jpeg"/><Relationship Id="rId272" Type="http://schemas.openxmlformats.org/officeDocument/2006/relationships/image" Target="media/image10.jpeg"/><Relationship Id="rId273" Type="http://schemas.openxmlformats.org/officeDocument/2006/relationships/image" Target="media/image5.jpeg"/><Relationship Id="rId274" Type="http://schemas.openxmlformats.org/officeDocument/2006/relationships/image" Target="media/image5.jpeg"/><Relationship Id="rId275" Type="http://schemas.openxmlformats.org/officeDocument/2006/relationships/image" Target="media/image5.jpeg"/><Relationship Id="rId276" Type="http://schemas.openxmlformats.org/officeDocument/2006/relationships/image" Target="media/image86.jpeg"/><Relationship Id="rId277" Type="http://schemas.openxmlformats.org/officeDocument/2006/relationships/image" Target="media/image87.jpeg"/><Relationship Id="rId278" Type="http://schemas.openxmlformats.org/officeDocument/2006/relationships/image" Target="media/image88.jpeg"/><Relationship Id="rId279" Type="http://schemas.openxmlformats.org/officeDocument/2006/relationships/fontTable" Target="fontTable.xml"/><Relationship Id="rId2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39779</Words>
  <Characters>228163</Characters>
  <CharactersWithSpaces>265447</CharactersWithSpaces>
  <Paragraphs>4274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