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r>
        <w:rPr>
          <w:rFonts w:ascii="Times New Roman" w:cs="Times New Roman" w:eastAsia="Times New Roman" w:hAnsi="Times New Roman"/>
          <w:sz w:val="18"/>
          <w:szCs w:val="18"/>
          <w:b w:val="1"/>
          <w:bCs w:val="1"/>
          <w:color w:val="auto"/>
        </w:rPr>
        <w:t>: 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KIMBERLY-CLARK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0" w:lineRule="exact"/>
        <w:rPr>
          <w:sz w:val="24"/>
          <w:szCs w:val="24"/>
          <w:color w:val="auto"/>
        </w:rPr>
      </w:pPr>
    </w:p>
    <w:tbl>
      <w:tblPr>
        <w:tblLayout w:type="fixed"/>
        <w:tblInd w:w="590" w:type="dxa"/>
        <w:tblCellMar>
          <w:top w:w="0" w:type="dxa"/>
          <w:left w:w="0" w:type="dxa"/>
          <w:bottom w:w="0" w:type="dxa"/>
          <w:right w:w="0" w:type="dxa"/>
        </w:tblCellMar>
      </w:tblPr>
      <w:tr>
        <w:trPr>
          <w:trHeight w:val="229"/>
        </w:trPr>
        <w:tc>
          <w:tcPr>
            <w:tcW w:w="2960" w:type="dxa"/>
            <w:vAlign w:val="bottom"/>
            <w:tcBorders>
              <w:top w:val="single" w:sz="8" w:color="auto"/>
              <w:left w:val="single" w:sz="8" w:color="auto"/>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0" w:type="dxa"/>
            <w:vAlign w:val="bottom"/>
            <w:tcBorders>
              <w:top w:val="single" w:sz="8" w:color="auto"/>
              <w:bottom w:val="single" w:sz="8" w:color="auto"/>
              <w:right w:val="single" w:sz="8" w:color="auto"/>
            </w:tcBorders>
          </w:tcPr>
          <w:p>
            <w:pPr>
              <w:spacing w:after="0"/>
              <w:rPr>
                <w:sz w:val="19"/>
                <w:szCs w:val="19"/>
                <w:color w:val="auto"/>
              </w:rPr>
            </w:pPr>
          </w:p>
        </w:tc>
        <w:tc>
          <w:tcPr>
            <w:tcW w:w="3340" w:type="dxa"/>
            <w:vAlign w:val="bottom"/>
            <w:tcBorders>
              <w:top w:val="single" w:sz="8" w:color="auto"/>
              <w:bottom w:val="single" w:sz="8" w:color="auto"/>
              <w:right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1-225</w:t>
            </w:r>
          </w:p>
        </w:tc>
        <w:tc>
          <w:tcPr>
            <w:tcW w:w="340" w:type="dxa"/>
            <w:vAlign w:val="bottom"/>
            <w:tcBorders>
              <w:top w:val="single" w:sz="8" w:color="auto"/>
              <w:bottom w:val="single" w:sz="8" w:color="auto"/>
            </w:tcBorders>
          </w:tcPr>
          <w:p>
            <w:pPr>
              <w:spacing w:after="0"/>
              <w:rPr>
                <w:sz w:val="19"/>
                <w:szCs w:val="19"/>
                <w:color w:val="auto"/>
              </w:rPr>
            </w:pPr>
          </w:p>
        </w:tc>
        <w:tc>
          <w:tcPr>
            <w:tcW w:w="2980" w:type="dxa"/>
            <w:vAlign w:val="bottom"/>
            <w:tcBorders>
              <w:top w:val="single" w:sz="8" w:color="auto"/>
              <w:bottom w:val="single" w:sz="8" w:color="auto"/>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39-0394230</w:t>
            </w:r>
          </w:p>
        </w:tc>
      </w:tr>
      <w:tr>
        <w:trPr>
          <w:trHeight w:val="191"/>
        </w:trPr>
        <w:tc>
          <w:tcPr>
            <w:tcW w:w="2960" w:type="dxa"/>
            <w:vAlign w:val="bottom"/>
            <w:tcBorders>
              <w:left w:val="single" w:sz="8" w:color="auto"/>
            </w:tcBorders>
          </w:tcPr>
          <w:p>
            <w:pPr>
              <w:jc w:val="center"/>
              <w:ind w:left="39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80" w:type="dxa"/>
            <w:vAlign w:val="bottom"/>
            <w:tcBorders>
              <w:right w:val="single" w:sz="8" w:color="auto"/>
            </w:tcBorders>
          </w:tcPr>
          <w:p>
            <w:pPr>
              <w:spacing w:after="0"/>
              <w:rPr>
                <w:sz w:val="16"/>
                <w:szCs w:val="16"/>
                <w:color w:val="auto"/>
              </w:rPr>
            </w:pPr>
          </w:p>
        </w:tc>
        <w:tc>
          <w:tcPr>
            <w:tcW w:w="3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340" w:type="dxa"/>
            <w:vAlign w:val="bottom"/>
          </w:tcPr>
          <w:p>
            <w:pPr>
              <w:spacing w:after="0"/>
              <w:rPr>
                <w:sz w:val="16"/>
                <w:szCs w:val="16"/>
                <w:color w:val="auto"/>
              </w:rPr>
            </w:pPr>
          </w:p>
        </w:tc>
        <w:tc>
          <w:tcPr>
            <w:tcW w:w="2980" w:type="dxa"/>
            <w:vAlign w:val="bottom"/>
            <w:tcBorders>
              <w:right w:val="single" w:sz="8" w:color="auto"/>
            </w:tcBorders>
          </w:tcPr>
          <w:p>
            <w:pPr>
              <w:jc w:val="center"/>
              <w:ind w:right="290"/>
              <w:spacing w:after="0" w:line="191" w:lineRule="exact"/>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2960" w:type="dxa"/>
            <w:vAlign w:val="bottom"/>
            <w:tcBorders>
              <w:left w:val="single" w:sz="8" w:color="auto"/>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rPr>
              <w:t>incorporation)</w:t>
            </w:r>
          </w:p>
        </w:tc>
        <w:tc>
          <w:tcPr>
            <w:tcW w:w="480" w:type="dxa"/>
            <w:vAlign w:val="bottom"/>
            <w:tcBorders>
              <w:bottom w:val="single" w:sz="8" w:color="auto"/>
              <w:right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No.)</w:t>
            </w:r>
          </w:p>
        </w:tc>
      </w:tr>
      <w:tr>
        <w:trPr>
          <w:trHeight w:val="390"/>
        </w:trPr>
        <w:tc>
          <w:tcPr>
            <w:tcW w:w="2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P.O. Box 619100</w:t>
            </w:r>
          </w:p>
        </w:tc>
        <w:tc>
          <w:tcPr>
            <w:tcW w:w="298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Dallas, Texas 75261-9100</w:t>
            </w:r>
          </w:p>
        </w:tc>
        <w:tc>
          <w:tcPr>
            <w:tcW w:w="298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80" w:type="dxa"/>
            <w:vAlign w:val="bottom"/>
          </w:tcPr>
          <w:p>
            <w:pPr>
              <w:spacing w:after="0"/>
              <w:rPr>
                <w:sz w:val="20"/>
                <w:szCs w:val="20"/>
                <w:color w:val="auto"/>
              </w:rPr>
            </w:pPr>
          </w:p>
        </w:tc>
      </w:tr>
    </w:tbl>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(972) 281-1200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(Registrant’s telephone number, including area code)</w:t>
      </w:r>
    </w:p>
    <w:p>
      <w:pPr>
        <w:spacing w:after="0" w:line="21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580" w:hanging="39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39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39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20" w:firstLine="188"/>
        <w:spacing w:after="0" w:line="542" w:lineRule="auto"/>
        <w:tabs>
          <w:tab w:leader="none" w:pos="5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90" w:type="dxa"/>
        <w:tblCellMar>
          <w:top w:w="0" w:type="dxa"/>
          <w:left w:w="0" w:type="dxa"/>
          <w:bottom w:w="0" w:type="dxa"/>
          <w:right w:w="0" w:type="dxa"/>
        </w:tblCellMar>
      </w:tblPr>
      <w:tr>
        <w:trPr>
          <w:trHeight w:val="189"/>
        </w:trPr>
        <w:tc>
          <w:tcPr>
            <w:tcW w:w="3440" w:type="dxa"/>
            <w:vAlign w:val="bottom"/>
            <w:tcBorders>
              <w:top w:val="single" w:sz="8" w:color="auto"/>
              <w:left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334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440" w:type="dxa"/>
            <w:vAlign w:val="bottom"/>
            <w:tcBorders>
              <w:left w:val="single" w:sz="8" w:color="auto"/>
              <w:bottom w:val="single" w:sz="8" w:color="auto"/>
              <w:right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09"/>
        </w:trPr>
        <w:tc>
          <w:tcPr>
            <w:tcW w:w="3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$1.25 Par Value</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KMB</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 of Kenvue Notes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previously disclosed, on November 2, 2026, pursuant to the terms of that certain Agreement and Plan of Merger, dated as of November 2, 2025, by and among Kenvue Inc., Kimberly-Clark Corporation (the “Corporation”), Vesta Sub I, Inc., a direct wholly owned subsidiary of the Corporation (“First Merger Sub”), and Vesta Sub II, LLC, a direct wholly owned subsidiary of the Corporation (“Second Merger Sub”), (i) First Merger Sub merged with and into Kenvue Inc. (the “First Merger”), with Kenvue Inc. surviving as a direct wholly owned subsidiary of the Corporation (the “Initial Surviving Company”), and (ii) immediately following the First Merger, and as part of the same overall transaction as the First Merger, the Initial Surviving Company merged with and into Second Merger Sub (the “Second Merger”), with Second Merger Sub surviving the Second Merger as a direct wholly owned subsidiary of the Corporation and renamed “Kenvue LLC” (“Kenvue”).</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Prior to the Second Merger, Kenvue Inc. was the issuer of the following series of notes under the indenture, dated as of March 22, 2023 (the “Kenvue Base Indenture”), between Kenvue Inc. and Deutsche Bank Trust Company Americas, as trustee (the “Kenvue Trustee”), as supplemented by (i) the first supplemental indenture, dated as of March 22, 2023 (the “Kenvue First Supplemental Indenture”), providing for the issuance of Kenvue Inc.’s 5.050% Senior Notes due 2028 (the “Kenvue 2028 Notes”), 5.000% Senior Notes due 2030 (the “Kenvue 2030 Notes”), 4.900% Senior Notes due 2033 (the “Kenvue 2033 Notes”), 5.100% Senior Notes due 2043 (the “Kenvue 2043 Notes”), 5.050% Senior Notes due 2053 (the “Kenvue 2053 Notes”) and</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5.200% Senior Notes due 2063 (the “Kenvue 2063 Notes”) and (ii) the second supplemental indenture, dated as of May 22, 2025 (the “Kenvue Second Supplemental Indenture”), providing for the issuance of Kenvue Inc.’s 4.850% Senior Notes due 2032 (the “Kenvue 2032 Notes” and, together with the Kenvue 2028 Notes, the Kenvue 2030 Notes, the Kenvue 2033 Notes, the Kenvue 2043 Notes, the Kenvue 2053 Notes and the Kenvue 2063 Notes, the “Kenvue Notes”). The Kenvue Base Indenture, as supplemented by the Kenvue First Supplemental Indenture, the Kenvue Second Supplemental Indenture and the Kenvue Third Supplemental Indenture (as defined below) is referred to herein as the “Kenvue Indenture.”</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Second Merger, Kenvue and the Kenvue Trustee entered into a Fourth Supplemental Indenture, dated as of November 2, 2026 (the “Kenvue Fourth Supplemental Indenture”), whereby Kenvue assumed the obligations of Kenvue Inc. under the Kenvue Indenture with respect to each series of Kenvue Notes. Upon the consummation of the Second Merger, Kenvue assumed $7,000,000,000 aggregate principal amount of Kenvue Notes, consisting of:</w:t>
      </w:r>
    </w:p>
    <w:p>
      <w:pPr>
        <w:spacing w:after="0" w:line="180"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aggregate principal amount of Kenvue 2028 Notes;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aggregate principal amount of Kenvue 2030 Notes;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$750,000,000 aggregate principal amount of Kenvue 2032 Notes;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$1,250,000,000 aggregate principal amount of Kenvue 2033 Notes;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$750,000,000 aggregate principal amount of Kenvue 2043 Notes;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aggregate principal amount of Kenvue 2053 Notes;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$750,000,000 aggregate principal amount of Kenvue 2063 Notes.</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Kenvue Notes are Kenvue’s general, unsecured senior obligations, and rank equally in right of payment with all of Kenvue’s existing and future unsecured senior indebtedness, liabilities and other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Maturity</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Kenvue 2028 Notes bear interest at a rate of 5.050% per annum and will mature on March 22, 2028. The Kenvue 2030 Notes bear interest at a rate of 5.000% per annum and will mature on March 22, 2030. The Kenvue 2032 Notes bear interest at a rate of 4.850% per annum and will mature on May 22, 2032. The Kenvue 2033 Notes bear interest at a rate of 4.900% per annum and will mature on March 22, 2033. The Kenvue 2043 Notes bear interest at a rate of 5.100% per annum and will mature on March 22, 2043. The Kenvue 2053 Notes bear interest at a rate of 5.050% per annum and will mature on March 22, 2053. The Kenvue 2063 Notes bear interest at a rate of 5.200% per annum and will mature on March 22, 2063. Interest on the Kenvue 2028 Notes, the Kenvue 2030 Notes, the Kenvue 2033 Notes, the Kenvue 2043 Notes, the Kenvue 2053 Notes and the Kenvue 2063 Notes is payable by Kenvue on March 22 and September 22 of each year, and the next interest payment date for such series is March 22, 2027. Interest on the Kenvue 2032 Notes is payable by Kenvue on May 22 and November 22 of each year, and the next interest payment date for such series is November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Optional Redemption</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Kenvue may redeem the Kenvue Notes of any series at its option, in whole or in part, at any time and from time to time, at the redemption prices and on the terms and conditions set forth in the Kenvue Indenture.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and Events of Default</w:t>
      </w:r>
    </w:p>
    <w:p>
      <w:pPr>
        <w:spacing w:after="0" w:line="227"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As described below under “—Exchange Offers and Consent Solicitations” and in Item 3.03 of this Current Report on Form 8-K, the Amendments (as defined below) became operative with respect to each series of Kenvue Notes on November 4, 2026 and, as a result, substantially all of the restrictive covenants, certain events of default and the Securities and Exchange Commission reporting covenant in the Kenvue Indenture no longer apply to the Kenvue Notes that remain outstanding.</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Kenvue Notes, the Kenvue Indenture and the Kenvue Fourth Supplemental Indenture is a summary and is qualified in its entirety by reference to such documents, which are filed as Exhibits 4.6 through 4.12 to this Current Report on Form 8-K or incorporated by reference as Exhibits 4.1 through 4.5 hereto,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Offers and Consent Solicitations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On November 4, 2026 (the “Settlement Date”), the Corporation completed the previously announced offers to exchange (each an “Exchange Offer” and, collectively, the “Exchange Offers”) any and all outstanding Kenvue Notes for up to $7,000,000,000 aggregate principal amount of new notes issued by the Corporation and cash and related consent solicitations (each, a “Consent Solicitation” and, collectively, the “Consent Solicitations”) made by the Corporation on behalf of Kenvue to adopt certain amendments (the “Amendments”) to the Kenvue Indenture governing the Kenvue Notes. Pursuant to the Exchange Offers and Consent Solicitations, the aggregate principal amounts of the Kenvue Notes set forth below were validly tendered and accepted for exchange. Such accepted Kenvue Notes have been retired and canceled and will not be reissued. Following such cancellation, the aggregate principal amounts of the Kenvue Notes set forth below remain outstanding as obligations of Kenvue.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231F20"/>
              </w:rPr>
              <w:t>Aggregate Principal Amount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231F20"/>
                <w:w w:val="99"/>
              </w:rPr>
              <w:t>Aggregate Principal Amount</w:t>
            </w:r>
          </w:p>
        </w:tc>
      </w:tr>
      <w:tr>
        <w:trPr>
          <w:trHeight w:val="238"/>
        </w:trPr>
        <w:tc>
          <w:tcPr>
            <w:tcW w:w="3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231F20"/>
              </w:rPr>
              <w:t>Title of Series of Kenvue Notes</w:t>
            </w:r>
          </w:p>
        </w:tc>
        <w:tc>
          <w:tcPr>
            <w:tcW w:w="260" w:type="dxa"/>
            <w:vAlign w:val="bottom"/>
          </w:tcPr>
          <w:p>
            <w:pPr>
              <w:spacing w:after="0"/>
              <w:rPr>
                <w:sz w:val="20"/>
                <w:szCs w:val="20"/>
                <w:color w:val="auto"/>
              </w:rPr>
            </w:pPr>
          </w:p>
        </w:tc>
        <w:tc>
          <w:tcPr>
            <w:tcW w:w="3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231F20"/>
              </w:rPr>
              <w:t>Tendered, Accepted and Canceled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231F20"/>
              </w:rPr>
              <w:t>Outstanding Following Settlement</w:t>
            </w:r>
          </w:p>
        </w:tc>
      </w:tr>
      <w:tr>
        <w:trPr>
          <w:trHeight w:val="210"/>
        </w:trPr>
        <w:tc>
          <w:tcPr>
            <w:tcW w:w="386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231F20"/>
              </w:rPr>
              <w:t>5.050% Senior Notes due 2028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231F20"/>
                <w:w w:val="70"/>
              </w:rPr>
              <w:t>$</w:t>
            </w:r>
          </w:p>
        </w:tc>
        <w:tc>
          <w:tcPr>
            <w:tcW w:w="3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739,347,000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3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260,653,000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231F20"/>
              </w:rPr>
              <w:t>5.000% Senior Notes due 2030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231F20"/>
                <w:w w:val="70"/>
              </w:rPr>
              <w:t>$</w:t>
            </w:r>
          </w:p>
        </w:tc>
        <w:tc>
          <w:tcPr>
            <w:tcW w:w="3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31F20"/>
              </w:rPr>
              <w:t>846,989,000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231F20"/>
              </w:rPr>
              <w:t>$</w:t>
            </w:r>
          </w:p>
        </w:tc>
        <w:tc>
          <w:tcPr>
            <w:tcW w:w="3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153,011,000</w:t>
            </w:r>
          </w:p>
        </w:tc>
      </w:tr>
      <w:tr>
        <w:trPr>
          <w:trHeight w:val="216"/>
        </w:trPr>
        <w:tc>
          <w:tcPr>
            <w:tcW w:w="3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231F20"/>
              </w:rPr>
              <w:t>4.850% Senior Notes due 2032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231F20"/>
                <w:w w:val="70"/>
              </w:rPr>
              <w:t>$</w:t>
            </w:r>
          </w:p>
        </w:tc>
        <w:tc>
          <w:tcPr>
            <w:tcW w:w="3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31F20"/>
              </w:rPr>
              <w:t>702,706,000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rPr>
              <w:t>$</w:t>
            </w:r>
          </w:p>
        </w:tc>
        <w:tc>
          <w:tcPr>
            <w:tcW w:w="3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47,294,000</w:t>
            </w:r>
          </w:p>
        </w:tc>
      </w:tr>
      <w:tr>
        <w:trPr>
          <w:trHeight w:val="216"/>
        </w:trPr>
        <w:tc>
          <w:tcPr>
            <w:tcW w:w="3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231F20"/>
              </w:rPr>
              <w:t>4.900% Senior Notes due 2033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231F20"/>
                <w:w w:val="70"/>
              </w:rPr>
              <w:t>$</w:t>
            </w:r>
          </w:p>
        </w:tc>
        <w:tc>
          <w:tcPr>
            <w:tcW w:w="3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31F20"/>
              </w:rPr>
              <w:t>1,152,617,000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231F20"/>
              </w:rPr>
              <w:t>$</w:t>
            </w:r>
          </w:p>
        </w:tc>
        <w:tc>
          <w:tcPr>
            <w:tcW w:w="3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97,383,000</w:t>
            </w:r>
          </w:p>
        </w:tc>
      </w:tr>
      <w:tr>
        <w:trPr>
          <w:trHeight w:val="216"/>
        </w:trPr>
        <w:tc>
          <w:tcPr>
            <w:tcW w:w="3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231F20"/>
              </w:rPr>
              <w:t>5.100% Senior Notes due 2043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231F20"/>
                <w:w w:val="70"/>
              </w:rPr>
              <w:t>$</w:t>
            </w:r>
          </w:p>
        </w:tc>
        <w:tc>
          <w:tcPr>
            <w:tcW w:w="3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31F20"/>
              </w:rPr>
              <w:t>728,377,000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rPr>
              <w:t>$</w:t>
            </w:r>
          </w:p>
        </w:tc>
        <w:tc>
          <w:tcPr>
            <w:tcW w:w="3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21,623,000</w:t>
            </w:r>
          </w:p>
        </w:tc>
      </w:tr>
      <w:tr>
        <w:trPr>
          <w:trHeight w:val="216"/>
        </w:trPr>
        <w:tc>
          <w:tcPr>
            <w:tcW w:w="3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231F20"/>
              </w:rPr>
              <w:t>5.050% Senior Notes due 2053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231F20"/>
                <w:w w:val="70"/>
              </w:rPr>
              <w:t>$</w:t>
            </w:r>
          </w:p>
        </w:tc>
        <w:tc>
          <w:tcPr>
            <w:tcW w:w="3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31F20"/>
              </w:rPr>
              <w:t>1,478,073,000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231F20"/>
              </w:rPr>
              <w:t>$</w:t>
            </w:r>
          </w:p>
        </w:tc>
        <w:tc>
          <w:tcPr>
            <w:tcW w:w="3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21,927,000</w:t>
            </w:r>
          </w:p>
        </w:tc>
      </w:tr>
      <w:tr>
        <w:trPr>
          <w:trHeight w:val="216"/>
        </w:trPr>
        <w:tc>
          <w:tcPr>
            <w:tcW w:w="3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231F20"/>
              </w:rPr>
              <w:t>5.200% Senior Notes due 2063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231F20"/>
                <w:w w:val="70"/>
              </w:rPr>
              <w:t>$</w:t>
            </w:r>
          </w:p>
        </w:tc>
        <w:tc>
          <w:tcPr>
            <w:tcW w:w="3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31F20"/>
              </w:rPr>
              <w:t>727,930,000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rPr>
              <w:t>$</w:t>
            </w:r>
          </w:p>
        </w:tc>
        <w:tc>
          <w:tcPr>
            <w:tcW w:w="3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22,070,000</w:t>
            </w:r>
          </w:p>
        </w:tc>
      </w:tr>
    </w:tbl>
    <w:p>
      <w:pPr>
        <w:spacing w:after="0" w:line="19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Following receipt of the requisite consents to adopt the Amendments with respect to each series of Kenvue Notes, on October 9, 2026, Kenvue Inc. and the Kenvue Trustee entered into a Third Supplemental Indenture, dated as of October 9, 2026 (the “Kenvue Third Supplemental Indenture”), to the Kenvue Base Indenture. The Kenvue Third Supplemental Indenture was effective upon execution, and the Amendments with respect to each series of the Kenvue Notes became automatically operative upon the Settlement Date. The Kenvue Third Supplemental Indenture amended the Kenvue Indenture to (1) eliminate substantially all of the restrictive covenants in the Kenvue Indenture with respect to each series of Kenvue Notes, (2) eliminate certain of the events which may lead to an “Event of Default” in the Kenvue Indenture with respect to each series of Kenvue Notes (other than for the failure to pay principal, premium or interest), (3) eliminate the Securities and Exchange Commission reporting covenant in the Kenvue Indenture with respect to each series of Kenvue Notes and (4) eliminate certain restrictions on Kenvue in the Kenvue Indenture with respect to each series of Kenvue Notes from consolidating with or merging into any other person or conveying, transferring or leasing all or any of its properties and assets to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Kimberly-Clark Notes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settlement of the Exchange Offers and Consent Solicitations, on November 4, 2026, the Corporation issued the following Kimberly-Clark Notes (as defined below) under the First Amended and Restated Indenture (as amended by the first, second and eighth supplemental indentures, dated as of November 6, 1992, May 25, 1994 and October 27, 2021, respectively, the “Base Indenture”), dated as of March 1, 1988, by and among the Corporation and The Bank of New York Mellon Trust Company, N.A. (as successor in interest to The First National Bank of Chicago) as trustee (originally executed with Bank of America National Trust and Savings Association) and the Twelfth Supplemental Indenture, dated as of November 4, 2026 (the “Twelfth Supplemental Indenture” and the Base Indenture as supplemented by the Twelfth Supplemental Indenture, the “Indenture”), by and among the Corporation and U.S. Bank Trust Company, National Association, as successor trustee under the Indenture in respect to the Kimberly-Clark Notes:</w:t>
      </w:r>
    </w:p>
    <w:p>
      <w:pPr>
        <w:spacing w:after="0" w:line="192"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$739,347,000 aggregate principal amount of 5.050% Notes due 2028 (the “Kimberly-Clark 2028 Notes”);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$846,989,000 aggregate principal amount of 5.000% Notes due 2030 (the “Kimberly-Clark 2030 Notes”);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$702,706,000 aggregate principal amount of 4.850% Notes due 2032 (the “Kimberly-Clark 2032 Notes”);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$1,152,617,000 aggregate principal amount of 4.900% Notes due 2033 (the “Kimberly-Clark 2033 Notes”);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$728,377,000 aggregate principal amount of 5.100% Notes due 2043 (the “Kimberly-Clark 2043 Notes”);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$1,478,073,000 aggregate principal amount of 5.050% Notes due 2053 (the “Kimberly-Clark 2053 Notes”);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$727,930,000 aggregate principal amount of 5.200% Notes due 2063 (the “Kimberly-Clark 2063 Notes” and, collectively with the Kimberly-Clark 2028 Notes, the Kimberly-Clark 2030 Notes, the Kimberly-Clark 2032 Notes, the Kimberly-Clark 2033 Notes, the Kimberly-Clark 2043 Notes and the Kimberly-Clark 2053 Notes, the “Kimberly-Clark Notes”).</w:t>
      </w:r>
    </w:p>
    <w:p>
      <w:pPr>
        <w:spacing w:after="0" w:line="176"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Kimberly-Clark Notes were issued in exchange for Kenvue Notes pursuant to a private exchange offer exempt from, or not subject to, registration under the Securities Act of 1933, as amended (“Securities Act”).</w:t>
      </w:r>
    </w:p>
    <w:p>
      <w:pPr>
        <w:spacing w:after="0" w:line="162" w:lineRule="exact"/>
        <w:rPr>
          <w:sz w:val="20"/>
          <w:szCs w:val="20"/>
          <w:color w:val="auto"/>
        </w:rPr>
      </w:pPr>
    </w:p>
    <w:p>
      <w:pPr>
        <w:jc w:val="both"/>
        <w:ind w:right="600" w:firstLine="648"/>
        <w:spacing w:after="0" w:line="312" w:lineRule="auto"/>
        <w:rPr>
          <w:sz w:val="20"/>
          <w:szCs w:val="20"/>
          <w:color w:val="auto"/>
        </w:rPr>
      </w:pPr>
      <w:r>
        <w:rPr>
          <w:rFonts w:ascii="Times New Roman" w:cs="Times New Roman" w:eastAsia="Times New Roman" w:hAnsi="Times New Roman"/>
          <w:sz w:val="17"/>
          <w:szCs w:val="17"/>
          <w:color w:val="auto"/>
        </w:rPr>
        <w:t>The Kimberly-Clark Notes are the Corporation’s general, unsecured senior obligations, and rank equally in right of payment with all of the Corporation’s existing and future unsecured senior indebtedness, liabilities and other obligations, including the Corporation’s existing senior notes.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Maturity and Optional Redemption</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Each series of Kimberly-Clark Notes bears interest at the same rate, has the same interest payment dates and maturity date, and is redeemable at the Corporation’s option at the same redemption prices, as the corresponding series of Kenvue Notes described above under “—Assumption of Kenvue Notes,” in each case on the terms and conditions set forth in the Indenture. Interest on the Kimberly-Clark 2028 Notes, the Kimberly-Clark 2030 Notes, the Kimberly-Clark 2033 Notes, the Kimberly-Clark 2043 Notes, the Kimberly-Clark 2053 Notes and the Kimberly-Clark 2063 Notes accrues from September 22, 2026, with the first interest payment due on March 22, 2027, and interest on the Kimberly-Clark 2032 Notes accrues from May 22, 2026, with the first interest payment due on November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Covenants and Events of Default</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Indenture contains covenants that, among other things, limit the ability of the Corporation and its restricted subsidiaries to issue, assume or guarantee specified secured debt and enter into sale and leaseback transactions with respect to any principal properties, and limit the ability of the Corporation to consolidate with, merge into, or sell or transfer all or substantially all of its property and assets to, any other corporation. The Indenture also provides for customary events of default.</w:t>
      </w:r>
    </w:p>
    <w:p>
      <w:pPr>
        <w:spacing w:after="0" w:line="18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Kimberly-Clark Notes, the Indenture and the Twelfth Supplemental Indenture is a summary and is qualified in its entirety by reference to such documents, which are filed as Exhibits 4.14 through 4.21 to this Current Report on Form 8-K or incorporated by reference as Exhibit 4.13 hereto,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November 4, 2026, in connection with the completion of the Exchange Offers, the Corporation and J.P. Morgan Securities LLC, Citigroup Global Markets Inc. and Morgan Stanley &amp; Co. LLC, as lead dealer managers and lead solicitation agents, entered into a registration rights agreement with respect to the Kimberly-Clark Notes (the “Registration Rights Agreement”). The Corporation agreed under the Registration Rights Agreement to, among other things, use its commercially reasonable efforts to (i) file a registration statement on an appropriate registration form with respect to a registered offer to exchange the Kimberly-Clark Notes for new notes, with terms substantially identical in all material respects to the Kimberly-Clark Notes (except that the new Kimberly-Clark Notes will not contain terms with respect to transfer restrictions and additional interest (as described below)), (ii) cause such registration statement to be declared effective under the Securities Act and (iii) complete the registered exchange offer within 365 days after the Settlement Date. In addition, the Corporation has agreed to use commercially reasonable efforts to file, under certain circumstances, a shelf registration statement to cover resales of the Kimberly-Clark Notes under the Securities Act. The Corporation shall be obligated to pay additional interest on the Kimberly-Clark Notes if (A) the Corporation has not consummated the exchange offer within 365 days after the Settlement Date, or, if a shelf registration statement is required and has not been declared effective under the Securities Act, on or prior to the later of (i) 365 days after the Settlement Date and (ii) 365 days after the date, if any, on which the Corporation became obligated to have the shelf registration statement declared effective under the Securities Act pursuant to the Registration Rights Agreement; or (B) if applicable, a shelf registration statement covering resales of the Kimberly-Clark Notes has been declared effective and such shelf registration statement ceases to be effective at any time during the effectiveness period (subject to certain exceptions) and such failure to remain effective exists for more than 90 days (whether or not consecutive) in any 12-month period during the effectiveness period.</w:t>
      </w:r>
    </w:p>
    <w:p>
      <w:pPr>
        <w:spacing w:after="0" w:line="19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is a summary and is qualified in its entirety by reference to such document, which is filed as Exhibit 10.1 to this Current Report on Form 8-K and incorporated herein by reference.</w:t>
      </w:r>
    </w:p>
    <w:p>
      <w:pPr>
        <w:spacing w:after="0" w:line="158" w:lineRule="exact"/>
        <w:rPr>
          <w:sz w:val="20"/>
          <w:szCs w:val="20"/>
          <w:color w:val="auto"/>
        </w:rPr>
      </w:pPr>
    </w:p>
    <w:p>
      <w:pPr>
        <w:jc w:val="center"/>
        <w:ind w:right="112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2.03.</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under the headings “Assumption of Kenvue Notes” and “Exchange Offers and Consent Solicitations” is incorporated by reference into this Item 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5" w:name="page6"/>
    <w:bookmarkEnd w:id="5"/>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On November 3, 2026, the Corporation issued a press release (the “Press Release”) announcing the final results of the Exchange Offers and Consent Solicitations. A copy of the Press Release is filed pursuant to this Item 8.01 as Exhibit 99.1 to this Current Report on Form 8-K and incorporated by reference herein in its entirety.</w:t>
      </w:r>
    </w:p>
    <w:p>
      <w:pPr>
        <w:spacing w:after="0" w:line="17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0" w:type="dxa"/>
            <w:vAlign w:val="bottom"/>
            <w:tcBorders>
              <w:top w:val="single" w:sz="8" w:color="auto"/>
              <w:left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Borders>
              <w:top w:val="single" w:sz="8" w:color="auto"/>
              <w:bottom w:val="single" w:sz="8" w:color="auto"/>
            </w:tcBorders>
          </w:tcPr>
          <w:p>
            <w:pPr>
              <w:spacing w:after="0"/>
              <w:rPr>
                <w:sz w:val="19"/>
                <w:szCs w:val="19"/>
                <w:color w:val="auto"/>
              </w:rPr>
            </w:pPr>
          </w:p>
        </w:tc>
        <w:tc>
          <w:tcPr>
            <w:tcW w:w="8660" w:type="dxa"/>
            <w:vAlign w:val="bottom"/>
            <w:tcBorders>
              <w:top w:val="single" w:sz="8" w:color="auto"/>
              <w:bottom w:val="single" w:sz="8" w:color="auto"/>
              <w:right w:val="single" w:sz="8" w:color="auto"/>
            </w:tcBorders>
            <w:gridSpan w:val="1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20" w:type="dxa"/>
            <w:vAlign w:val="bottom"/>
            <w:tcBorders>
              <w:left w:val="single" w:sz="8" w:color="auto"/>
            </w:tcBorders>
            <w:gridSpan w:val="3"/>
          </w:tcPr>
          <w:p>
            <w:pPr>
              <w:ind w:left="120"/>
              <w:spacing w:after="0" w:line="169"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4.1</w:t>
              </w:r>
            </w:hyperlink>
          </w:p>
        </w:tc>
        <w:tc>
          <w:tcPr>
            <w:tcW w:w="20" w:type="dxa"/>
            <w:vAlign w:val="bottom"/>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6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Indenture, dated as of March 22, 2023, by and between Kenvue Inc. and Deutsche Bank Trust Company Americas, as</w:t>
              </w:r>
            </w:hyperlink>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5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trustee (incorporated by reference to Exhibit 4.1 to Amendment No. 3 to Registration Statement on Form S-1</w:t>
              </w:r>
            </w:hyperlink>
          </w:p>
        </w:tc>
        <w:tc>
          <w:tcPr>
            <w:tcW w:w="160" w:type="dxa"/>
            <w:vAlign w:val="bottom"/>
            <w:tcBorders>
              <w:right w:val="single" w:sz="8" w:color="auto"/>
            </w:tcBorders>
          </w:tcPr>
          <w:p>
            <w:pPr>
              <w:spacing w:after="0"/>
              <w:rPr>
                <w:sz w:val="17"/>
                <w:szCs w:val="17"/>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1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(Registration No. 333-269115) filed by Kenvue Inc. with the Securities and Exchange Commission on March 30,</w:t>
              </w:r>
            </w:hyperlink>
          </w:p>
        </w:tc>
        <w:tc>
          <w:tcPr>
            <w:tcW w:w="500" w:type="dxa"/>
            <w:vAlign w:val="bottom"/>
            <w:tcBorders>
              <w:right w:val="single" w:sz="8" w:color="auto"/>
            </w:tcBorders>
            <w:gridSpan w:val="6"/>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2380" w:type="dxa"/>
            <w:vAlign w:val="bottom"/>
            <w:gridSpan w:val="3"/>
          </w:tcPr>
          <w:p>
            <w:pPr>
              <w:ind w:left="80"/>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2023).</w:t>
              </w:r>
            </w:hyperlink>
          </w:p>
        </w:tc>
        <w:tc>
          <w:tcPr>
            <w:tcW w:w="3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0" w:type="dxa"/>
            <w:vAlign w:val="bottom"/>
            <w:tcBorders>
              <w:left w:val="single" w:sz="8" w:color="auto"/>
            </w:tcBorders>
            <w:gridSpan w:val="3"/>
          </w:tcPr>
          <w:p>
            <w:pPr>
              <w:ind w:left="120"/>
              <w:spacing w:after="0" w:line="169"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4.2</w:t>
              </w:r>
            </w:hyperlink>
          </w:p>
        </w:tc>
        <w:tc>
          <w:tcPr>
            <w:tcW w:w="20" w:type="dxa"/>
            <w:vAlign w:val="bottom"/>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6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Supplemental Indenture, dated as of March 22, 2023, between Kenvue Inc. and Deutsche Bank Trust Company</w:t>
              </w:r>
            </w:hyperlink>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Americas, as trustee, pursuant to which the Kenvue 2028 Notes, the Kenvue 2030 Notes, the Kenvue 2033 Notes, the</w:t>
              </w:r>
            </w:hyperlink>
          </w:p>
        </w:tc>
        <w:tc>
          <w:tcPr>
            <w:tcW w:w="180" w:type="dxa"/>
            <w:vAlign w:val="bottom"/>
            <w:tcBorders>
              <w:right w:val="single" w:sz="8" w:color="auto"/>
            </w:tcBorders>
            <w:gridSpan w:val="2"/>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3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Kenvue 2043 Notes, the Kenvue 2053 Notes and the Kenvue 2063 Notes were issued (incorporated by reference to</w:t>
              </w:r>
            </w:hyperlink>
          </w:p>
        </w:tc>
        <w:tc>
          <w:tcPr>
            <w:tcW w:w="360" w:type="dxa"/>
            <w:vAlign w:val="bottom"/>
            <w:tcBorders>
              <w:right w:val="single" w:sz="8" w:color="auto"/>
            </w:tcBorders>
            <w:gridSpan w:val="5"/>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Exhibit 4.2 to Amendment No. 3 to Registration Statement on Form S-1 (Registration No. 333-269115) filed by</w:t>
              </w:r>
            </w:hyperlink>
          </w:p>
        </w:tc>
        <w:tc>
          <w:tcPr>
            <w:tcW w:w="580" w:type="dxa"/>
            <w:vAlign w:val="bottom"/>
            <w:tcBorders>
              <w:right w:val="single" w:sz="8" w:color="auto"/>
            </w:tcBorders>
            <w:gridSpan w:val="7"/>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60" w:type="dxa"/>
            <w:vAlign w:val="bottom"/>
            <w:tcBorders>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Kenvue Inc. with the Securities and Exchange Commission on March 30, 2023).</w:t>
              </w:r>
            </w:hyperlink>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18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1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0" w:type="dxa"/>
            <w:vAlign w:val="bottom"/>
            <w:tcBorders>
              <w:left w:val="single" w:sz="8" w:color="auto"/>
            </w:tcBorders>
            <w:gridSpan w:val="3"/>
          </w:tcPr>
          <w:p>
            <w:pPr>
              <w:ind w:left="120"/>
              <w:spacing w:after="0" w:line="169"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4.3</w:t>
              </w:r>
            </w:hyperlink>
          </w:p>
        </w:tc>
        <w:tc>
          <w:tcPr>
            <w:tcW w:w="20" w:type="dxa"/>
            <w:vAlign w:val="bottom"/>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6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Second Supplemental Indenture, dated as of May 22, 2025, between Kenvue Inc. and Deutsche Bank Trust Company</w:t>
              </w:r>
            </w:hyperlink>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Americas, as trustee, pursuant to which the Kenvue 2032 Notes were issued (incorporated by reference to Exhibit 4.1</w:t>
              </w:r>
            </w:hyperlink>
          </w:p>
        </w:tc>
        <w:tc>
          <w:tcPr>
            <w:tcW w:w="200" w:type="dxa"/>
            <w:vAlign w:val="bottom"/>
            <w:tcBorders>
              <w:right w:val="single" w:sz="8" w:color="auto"/>
            </w:tcBorders>
            <w:gridSpan w:val="3"/>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to the Current Report on Form 8-K (File No. 001-41697) filed by Kenvue Inc. with the Securities and Exchange</w:t>
              </w:r>
            </w:hyperlink>
          </w:p>
        </w:tc>
        <w:tc>
          <w:tcPr>
            <w:tcW w:w="580" w:type="dxa"/>
            <w:vAlign w:val="bottom"/>
            <w:tcBorders>
              <w:right w:val="single" w:sz="8" w:color="auto"/>
            </w:tcBorders>
            <w:gridSpan w:val="7"/>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60" w:type="dxa"/>
            <w:vAlign w:val="bottom"/>
            <w:tcBorders>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Commission on May 22, 2025).</w:t>
              </w:r>
            </w:hyperlink>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18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0" w:type="dxa"/>
            <w:vAlign w:val="bottom"/>
            <w:tcBorders>
              <w:left w:val="single" w:sz="8" w:color="auto"/>
            </w:tcBorders>
            <w:gridSpan w:val="3"/>
          </w:tcPr>
          <w:p>
            <w:pPr>
              <w:ind w:left="120"/>
              <w:spacing w:after="0" w:line="169"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4.4</w:t>
              </w:r>
            </w:hyperlink>
          </w:p>
        </w:tc>
        <w:tc>
          <w:tcPr>
            <w:tcW w:w="20" w:type="dxa"/>
            <w:vAlign w:val="bottom"/>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6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Third Supplemental Indenture, dated as of October 9, 2026, between Kenvue Inc. and Deutsche Bank Trust Company</w:t>
              </w:r>
            </w:hyperlink>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Americas, as trustee (incorporated by reference to Exhibit 4.1 to the Current Report on Form 8-K (File No. 001-</w:t>
              </w:r>
            </w:hyperlink>
          </w:p>
        </w:tc>
        <w:tc>
          <w:tcPr>
            <w:tcW w:w="400" w:type="dxa"/>
            <w:vAlign w:val="bottom"/>
            <w:tcBorders>
              <w:top w:val="single" w:sz="8" w:color="0000EE"/>
            </w:tcBorders>
            <w:gridSpan w:val="5"/>
          </w:tcPr>
          <w:p>
            <w:pPr>
              <w:spacing w:after="0"/>
              <w:rPr>
                <w:sz w:val="17"/>
                <w:szCs w:val="17"/>
                <w:color w:val="auto"/>
              </w:rPr>
            </w:pPr>
          </w:p>
        </w:tc>
        <w:tc>
          <w:tcPr>
            <w:tcW w:w="180" w:type="dxa"/>
            <w:vAlign w:val="bottom"/>
            <w:tcBorders>
              <w:right w:val="single" w:sz="8" w:color="auto"/>
            </w:tcBorders>
            <w:gridSpan w:val="2"/>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60" w:type="dxa"/>
            <w:vAlign w:val="bottom"/>
            <w:tcBorders>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41697) filed by Kenvue Inc. with the Securities and Exchange Commission on October 13, 2026).</w:t>
              </w:r>
            </w:hyperlink>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18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1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0" w:type="dxa"/>
            <w:vAlign w:val="bottom"/>
            <w:tcBorders>
              <w:left w:val="single" w:sz="8" w:color="auto"/>
            </w:tcBorders>
            <w:gridSpan w:val="3"/>
          </w:tcPr>
          <w:p>
            <w:pPr>
              <w:ind w:left="120"/>
              <w:spacing w:after="0" w:line="169"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4.5</w:t>
              </w:r>
            </w:hyperlink>
          </w:p>
        </w:tc>
        <w:tc>
          <w:tcPr>
            <w:tcW w:w="20" w:type="dxa"/>
            <w:vAlign w:val="bottom"/>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6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Fourth Supplemental Indenture, dated as of November 2, 2026, between Kenvue LLC and Deutsche Bank Trust</w:t>
              </w:r>
            </w:hyperlink>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20" w:type="dxa"/>
            <w:vAlign w:val="bottom"/>
            <w:tcBorders>
              <w:right w:val="single" w:sz="8" w:color="auto"/>
            </w:tcBorders>
            <w:gridSpan w:val="4"/>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60" w:type="dxa"/>
            <w:vAlign w:val="bottom"/>
            <w:tcBorders>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Company Americas, as trustee (incorporated by reference to Exhibit 4.1 to the Current Report on Form 8-K (File No.</w:t>
              </w:r>
            </w:hyperlink>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001-41697) filed by Kenvue LLC (as successor in interest to Kenvue Inc.) with the Securities and Exchange</w:t>
              </w:r>
            </w:hyperlink>
          </w:p>
        </w:tc>
        <w:tc>
          <w:tcPr>
            <w:tcW w:w="580" w:type="dxa"/>
            <w:vAlign w:val="bottom"/>
            <w:tcBorders>
              <w:top w:val="single" w:sz="8" w:color="0000EE"/>
            </w:tcBorders>
            <w:gridSpan w:val="6"/>
          </w:tcPr>
          <w:p>
            <w:pPr>
              <w:spacing w:after="0"/>
              <w:rPr>
                <w:sz w:val="17"/>
                <w:szCs w:val="17"/>
                <w:color w:val="auto"/>
              </w:rPr>
            </w:pPr>
          </w:p>
        </w:tc>
        <w:tc>
          <w:tcPr>
            <w:tcW w:w="220" w:type="dxa"/>
            <w:vAlign w:val="bottom"/>
            <w:tcBorders>
              <w:right w:val="single" w:sz="8" w:color="auto"/>
            </w:tcBorders>
            <w:gridSpan w:val="4"/>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60" w:type="dxa"/>
            <w:vAlign w:val="bottom"/>
            <w:tcBorders>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Commission on November 2, 2026).</w:t>
              </w:r>
            </w:hyperlink>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18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0" w:type="dxa"/>
            <w:vAlign w:val="bottom"/>
            <w:tcBorders>
              <w:left w:val="single" w:sz="8" w:color="auto"/>
            </w:tcBorders>
            <w:gridSpan w:val="3"/>
          </w:tcPr>
          <w:p>
            <w:pPr>
              <w:ind w:left="120"/>
              <w:spacing w:after="0" w:line="169"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4.6</w:t>
              </w:r>
            </w:hyperlink>
          </w:p>
        </w:tc>
        <w:tc>
          <w:tcPr>
            <w:tcW w:w="20" w:type="dxa"/>
            <w:vAlign w:val="bottom"/>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6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Form of Kenvue 5.050% Senior Notes due March 22, 2028 (included in Exhibit 4.2).</w:t>
              </w:r>
            </w:hyperlink>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18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1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0" w:type="dxa"/>
            <w:vAlign w:val="bottom"/>
            <w:tcBorders>
              <w:left w:val="single" w:sz="8" w:color="auto"/>
            </w:tcBorders>
            <w:gridSpan w:val="3"/>
          </w:tcPr>
          <w:p>
            <w:pPr>
              <w:ind w:left="120"/>
              <w:spacing w:after="0" w:line="169"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4.7</w:t>
              </w:r>
            </w:hyperlink>
          </w:p>
        </w:tc>
        <w:tc>
          <w:tcPr>
            <w:tcW w:w="20" w:type="dxa"/>
            <w:vAlign w:val="bottom"/>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6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Form of Kenvue 5.000% Senior Notes due March 22, 2030 (included in Exhibit 4.2).</w:t>
              </w:r>
            </w:hyperlink>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18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1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0" w:type="dxa"/>
            <w:vAlign w:val="bottom"/>
            <w:tcBorders>
              <w:left w:val="single" w:sz="8" w:color="auto"/>
            </w:tcBorders>
            <w:gridSpan w:val="3"/>
          </w:tcPr>
          <w:p>
            <w:pPr>
              <w:ind w:left="120"/>
              <w:spacing w:after="0" w:line="169"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4.8</w:t>
              </w:r>
            </w:hyperlink>
          </w:p>
        </w:tc>
        <w:tc>
          <w:tcPr>
            <w:tcW w:w="20" w:type="dxa"/>
            <w:vAlign w:val="bottom"/>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6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Form of Kenvue 4.850% Senior Notes due May 22, 2032 (included in Exhibit 4.3).</w:t>
              </w:r>
            </w:hyperlink>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18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1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0" w:type="dxa"/>
            <w:vAlign w:val="bottom"/>
            <w:tcBorders>
              <w:left w:val="single" w:sz="8" w:color="auto"/>
            </w:tcBorders>
            <w:gridSpan w:val="3"/>
          </w:tcPr>
          <w:p>
            <w:pPr>
              <w:ind w:left="120"/>
              <w:spacing w:after="0" w:line="169"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4.9</w:t>
              </w:r>
            </w:hyperlink>
          </w:p>
        </w:tc>
        <w:tc>
          <w:tcPr>
            <w:tcW w:w="20" w:type="dxa"/>
            <w:vAlign w:val="bottom"/>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6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Form of Kenvue 4.900% Senior Notes due March 22, 2033 (included in Exhibit 4.2).</w:t>
              </w:r>
            </w:hyperlink>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18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1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500" w:type="dxa"/>
            <w:vAlign w:val="bottom"/>
            <w:tcBorders>
              <w:left w:val="single" w:sz="8" w:color="auto"/>
              <w:right w:val="single" w:sz="8" w:color="auto"/>
            </w:tcBorders>
            <w:gridSpan w:val="5"/>
          </w:tcPr>
          <w:p>
            <w:pPr>
              <w:ind w:left="120"/>
              <w:spacing w:after="0" w:line="169"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4.10</w:t>
              </w:r>
            </w:hyperlink>
          </w:p>
        </w:tc>
        <w:tc>
          <w:tcPr>
            <w:tcW w:w="80" w:type="dxa"/>
            <w:vAlign w:val="bottom"/>
          </w:tcPr>
          <w:p>
            <w:pPr>
              <w:spacing w:after="0"/>
              <w:rPr>
                <w:sz w:val="14"/>
                <w:szCs w:val="14"/>
                <w:color w:val="auto"/>
              </w:rPr>
            </w:pPr>
          </w:p>
        </w:tc>
        <w:tc>
          <w:tcPr>
            <w:tcW w:w="866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Form of Kenvue 5.100% Senior Notes due March 22, 2043 (included in Exhibit 4.2).</w:t>
              </w:r>
            </w:hyperlink>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18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1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 w:type="dxa"/>
            <w:vAlign w:val="bottom"/>
            <w:tcBorders>
              <w:left w:val="single" w:sz="8" w:color="auto"/>
            </w:tcBorders>
            <w:gridSpan w:val="4"/>
          </w:tcPr>
          <w:p>
            <w:pPr>
              <w:ind w:left="120"/>
              <w:spacing w:after="0" w:line="169" w:lineRule="exact"/>
              <w:rPr>
                <w:rFonts w:ascii="Times New Roman" w:cs="Times New Roman" w:eastAsia="Times New Roman" w:hAnsi="Times New Roman"/>
                <w:sz w:val="18"/>
                <w:szCs w:val="18"/>
                <w:color w:val="0000EE"/>
                <w:w w:val="95"/>
              </w:rPr>
            </w:pPr>
            <w:hyperlink r:id="rId21">
              <w:r>
                <w:rPr>
                  <w:rFonts w:ascii="Times New Roman" w:cs="Times New Roman" w:eastAsia="Times New Roman" w:hAnsi="Times New Roman"/>
                  <w:sz w:val="18"/>
                  <w:szCs w:val="18"/>
                  <w:color w:val="0000EE"/>
                  <w:w w:val="95"/>
                </w:rPr>
                <w:t>4.11</w:t>
              </w:r>
            </w:hyperlink>
          </w:p>
        </w:tc>
        <w:tc>
          <w:tcPr>
            <w:tcW w:w="20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6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Form of Kenvue 5.050% Senior Notes due March 22, 2053 (included in Exhibit 4.2).</w:t>
              </w:r>
            </w:hyperlink>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18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1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500" w:type="dxa"/>
            <w:vAlign w:val="bottom"/>
            <w:tcBorders>
              <w:left w:val="single" w:sz="8" w:color="auto"/>
              <w:right w:val="single" w:sz="8" w:color="auto"/>
            </w:tcBorders>
            <w:gridSpan w:val="5"/>
          </w:tcPr>
          <w:p>
            <w:pPr>
              <w:ind w:left="120"/>
              <w:spacing w:after="0" w:line="169"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4.12</w:t>
              </w:r>
            </w:hyperlink>
          </w:p>
        </w:tc>
        <w:tc>
          <w:tcPr>
            <w:tcW w:w="80" w:type="dxa"/>
            <w:vAlign w:val="bottom"/>
          </w:tcPr>
          <w:p>
            <w:pPr>
              <w:spacing w:after="0"/>
              <w:rPr>
                <w:sz w:val="14"/>
                <w:szCs w:val="14"/>
                <w:color w:val="auto"/>
              </w:rPr>
            </w:pPr>
          </w:p>
        </w:tc>
        <w:tc>
          <w:tcPr>
            <w:tcW w:w="866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Form of Kenvue 5.200% Senior Notes due March 22, 2063 (included in Exhibit 4.2).</w:t>
              </w:r>
            </w:hyperlink>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18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1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453"/>
        </w:trPr>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0" w:type="dxa"/>
            <w:vAlign w:val="bottom"/>
            <w:tcBorders>
              <w:top w:val="single" w:sz="8" w:color="auto"/>
              <w:left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Borders>
              <w:top w:val="single" w:sz="8" w:color="auto"/>
              <w:bottom w:val="single" w:sz="8" w:color="auto"/>
            </w:tcBorders>
          </w:tcPr>
          <w:p>
            <w:pPr>
              <w:spacing w:after="0"/>
              <w:rPr>
                <w:sz w:val="19"/>
                <w:szCs w:val="19"/>
                <w:color w:val="auto"/>
              </w:rPr>
            </w:pPr>
          </w:p>
        </w:tc>
        <w:tc>
          <w:tcPr>
            <w:tcW w:w="8660" w:type="dxa"/>
            <w:vAlign w:val="bottom"/>
            <w:tcBorders>
              <w:top w:val="single" w:sz="8" w:color="auto"/>
              <w:bottom w:val="single" w:sz="8" w:color="auto"/>
              <w:right w:val="single" w:sz="8" w:color="auto"/>
            </w:tcBorders>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500" w:type="dxa"/>
            <w:vAlign w:val="bottom"/>
            <w:tcBorders>
              <w:left w:val="single" w:sz="8" w:color="auto"/>
              <w:right w:val="single" w:sz="8" w:color="auto"/>
            </w:tcBorders>
            <w:gridSpan w:val="3"/>
          </w:tcPr>
          <w:p>
            <w:pPr>
              <w:ind w:left="120"/>
              <w:spacing w:after="0" w:line="169"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4.13</w:t>
              </w:r>
            </w:hyperlink>
          </w:p>
        </w:tc>
        <w:tc>
          <w:tcPr>
            <w:tcW w:w="80" w:type="dxa"/>
            <w:vAlign w:val="bottom"/>
          </w:tcPr>
          <w:p>
            <w:pPr>
              <w:spacing w:after="0"/>
              <w:rPr>
                <w:sz w:val="14"/>
                <w:szCs w:val="14"/>
                <w:color w:val="auto"/>
              </w:rPr>
            </w:pPr>
          </w:p>
        </w:tc>
        <w:tc>
          <w:tcPr>
            <w:tcW w:w="8660" w:type="dxa"/>
            <w:vAlign w:val="bottom"/>
            <w:tcBorders>
              <w:right w:val="single" w:sz="8" w:color="auto"/>
            </w:tcBorders>
            <w:gridSpan w:val="13"/>
          </w:tcPr>
          <w:p>
            <w:pPr>
              <w:spacing w:after="0" w:line="169"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First Amended and Restated Indenture dated as of March 1, 1988, between the Corporation and The Bank of New</w:t>
              </w:r>
            </w:hyperlink>
          </w:p>
        </w:tc>
      </w:tr>
      <w:tr>
        <w:trPr>
          <w:trHeight w:val="196"/>
        </w:trPr>
        <w:tc>
          <w:tcPr>
            <w:tcW w:w="120" w:type="dxa"/>
            <w:vAlign w:val="bottom"/>
            <w:tcBorders>
              <w:left w:val="single" w:sz="8" w:color="auto"/>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York Mellon Trust Company, N.A. (as successor in interest to The First National Bank of Chicago) as trustee</w:t>
              </w:r>
            </w:hyperlink>
          </w:p>
        </w:tc>
        <w:tc>
          <w:tcPr>
            <w:tcW w:w="380" w:type="dxa"/>
            <w:vAlign w:val="bottom"/>
            <w:tcBorders>
              <w:top w:val="single" w:sz="8" w:color="0000EE"/>
            </w:tcBorders>
            <w:gridSpan w:val="6"/>
          </w:tcPr>
          <w:p>
            <w:pPr>
              <w:spacing w:after="0"/>
              <w:rPr>
                <w:sz w:val="17"/>
                <w:szCs w:val="17"/>
                <w:color w:val="auto"/>
              </w:rPr>
            </w:pPr>
          </w:p>
        </w:tc>
        <w:tc>
          <w:tcPr>
            <w:tcW w:w="420" w:type="dxa"/>
            <w:vAlign w:val="bottom"/>
            <w:tcBorders>
              <w:right w:val="single" w:sz="8" w:color="auto"/>
            </w:tcBorders>
            <w:gridSpan w:val="2"/>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(originally executed with Bank of America National Trust and Savings Association) (incorporated by reference to</w:t>
              </w:r>
            </w:hyperlink>
          </w:p>
        </w:tc>
        <w:tc>
          <w:tcPr>
            <w:tcW w:w="440" w:type="dxa"/>
            <w:vAlign w:val="bottom"/>
            <w:tcBorders>
              <w:right w:val="single" w:sz="8" w:color="auto"/>
            </w:tcBorders>
            <w:gridSpan w:val="3"/>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60" w:type="dxa"/>
            <w:vAlign w:val="bottom"/>
            <w:tcBorders>
              <w:right w:val="single" w:sz="8" w:color="auto"/>
            </w:tcBorders>
            <w:gridSpan w:val="13"/>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Exhibit No. 4.1 to the Registration Statement on Form S-3 filed on February 2, 1998 (Registration No. 333-45399)).</w:t>
              </w:r>
            </w:hyperlink>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412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5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500" w:type="dxa"/>
            <w:vAlign w:val="bottom"/>
            <w:tcBorders>
              <w:left w:val="single" w:sz="8" w:color="auto"/>
              <w:right w:val="single" w:sz="8" w:color="auto"/>
            </w:tcBorders>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0000EE"/>
              </w:rPr>
              <w:t>4.14</w:t>
            </w:r>
          </w:p>
        </w:tc>
        <w:tc>
          <w:tcPr>
            <w:tcW w:w="80" w:type="dxa"/>
            <w:vAlign w:val="bottom"/>
          </w:tcPr>
          <w:p>
            <w:pPr>
              <w:spacing w:after="0"/>
              <w:rPr>
                <w:sz w:val="14"/>
                <w:szCs w:val="14"/>
                <w:color w:val="auto"/>
              </w:rPr>
            </w:pPr>
          </w:p>
        </w:tc>
        <w:tc>
          <w:tcPr>
            <w:tcW w:w="8660" w:type="dxa"/>
            <w:vAlign w:val="bottom"/>
            <w:tcBorders>
              <w:right w:val="single" w:sz="8" w:color="auto"/>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EE"/>
              </w:rPr>
              <w:t>Twelfth Supplemental Indenture, dated as of November 4, 2026, between the Corporation and U.S. Bank Trust</w:t>
            </w: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auto"/>
            </w:tcBorders>
            <w:gridSpan w:val="4"/>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60" w:type="dxa"/>
            <w:vAlign w:val="bottom"/>
            <w:tcBorders>
              <w:right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Company, National Association, as successor trustee, pursuant to which the Kimberly-Clark Notes were issued.</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412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5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500" w:type="dxa"/>
            <w:vAlign w:val="bottom"/>
            <w:tcBorders>
              <w:left w:val="single" w:sz="8" w:color="auto"/>
              <w:right w:val="single" w:sz="8" w:color="auto"/>
            </w:tcBorders>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0000EE"/>
              </w:rPr>
              <w:t>4.15</w:t>
            </w:r>
          </w:p>
        </w:tc>
        <w:tc>
          <w:tcPr>
            <w:tcW w:w="80" w:type="dxa"/>
            <w:vAlign w:val="bottom"/>
          </w:tcPr>
          <w:p>
            <w:pPr>
              <w:spacing w:after="0"/>
              <w:rPr>
                <w:sz w:val="14"/>
                <w:szCs w:val="14"/>
                <w:color w:val="auto"/>
              </w:rPr>
            </w:pPr>
          </w:p>
        </w:tc>
        <w:tc>
          <w:tcPr>
            <w:tcW w:w="8660" w:type="dxa"/>
            <w:vAlign w:val="bottom"/>
            <w:tcBorders>
              <w:right w:val="single" w:sz="8" w:color="auto"/>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EE"/>
              </w:rPr>
              <w:t>Form of Kimberly-Clark 5.050% Notes due March 22, 2028 (included in Exhibit 4.14).</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412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500" w:type="dxa"/>
            <w:vAlign w:val="bottom"/>
            <w:tcBorders>
              <w:left w:val="single" w:sz="8" w:color="auto"/>
              <w:right w:val="single" w:sz="8" w:color="auto"/>
            </w:tcBorders>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0000EE"/>
              </w:rPr>
              <w:t>4.16</w:t>
            </w:r>
          </w:p>
        </w:tc>
        <w:tc>
          <w:tcPr>
            <w:tcW w:w="80" w:type="dxa"/>
            <w:vAlign w:val="bottom"/>
          </w:tcPr>
          <w:p>
            <w:pPr>
              <w:spacing w:after="0"/>
              <w:rPr>
                <w:sz w:val="14"/>
                <w:szCs w:val="14"/>
                <w:color w:val="auto"/>
              </w:rPr>
            </w:pPr>
          </w:p>
        </w:tc>
        <w:tc>
          <w:tcPr>
            <w:tcW w:w="8660" w:type="dxa"/>
            <w:vAlign w:val="bottom"/>
            <w:tcBorders>
              <w:right w:val="single" w:sz="8" w:color="auto"/>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EE"/>
              </w:rPr>
              <w:t>Form of Kimberly-Clark 5.000% Notes due March 22, 2030 (included in Exhibit 4.14).</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412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500" w:type="dxa"/>
            <w:vAlign w:val="bottom"/>
            <w:tcBorders>
              <w:left w:val="single" w:sz="8" w:color="auto"/>
              <w:right w:val="single" w:sz="8" w:color="auto"/>
            </w:tcBorders>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0000EE"/>
              </w:rPr>
              <w:t>4.17</w:t>
            </w:r>
          </w:p>
        </w:tc>
        <w:tc>
          <w:tcPr>
            <w:tcW w:w="80" w:type="dxa"/>
            <w:vAlign w:val="bottom"/>
          </w:tcPr>
          <w:p>
            <w:pPr>
              <w:spacing w:after="0"/>
              <w:rPr>
                <w:sz w:val="14"/>
                <w:szCs w:val="14"/>
                <w:color w:val="auto"/>
              </w:rPr>
            </w:pPr>
          </w:p>
        </w:tc>
        <w:tc>
          <w:tcPr>
            <w:tcW w:w="8660" w:type="dxa"/>
            <w:vAlign w:val="bottom"/>
            <w:tcBorders>
              <w:right w:val="single" w:sz="8" w:color="auto"/>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EE"/>
              </w:rPr>
              <w:t>Form of Kimberly-Clark 4.850% Notes due May 22, 2032 (included in Exhibit 4.14).</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412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500" w:type="dxa"/>
            <w:vAlign w:val="bottom"/>
            <w:tcBorders>
              <w:left w:val="single" w:sz="8" w:color="auto"/>
              <w:right w:val="single" w:sz="8" w:color="auto"/>
            </w:tcBorders>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0000EE"/>
              </w:rPr>
              <w:t>4.18</w:t>
            </w:r>
          </w:p>
        </w:tc>
        <w:tc>
          <w:tcPr>
            <w:tcW w:w="80" w:type="dxa"/>
            <w:vAlign w:val="bottom"/>
          </w:tcPr>
          <w:p>
            <w:pPr>
              <w:spacing w:after="0"/>
              <w:rPr>
                <w:sz w:val="14"/>
                <w:szCs w:val="14"/>
                <w:color w:val="auto"/>
              </w:rPr>
            </w:pPr>
          </w:p>
        </w:tc>
        <w:tc>
          <w:tcPr>
            <w:tcW w:w="8660" w:type="dxa"/>
            <w:vAlign w:val="bottom"/>
            <w:tcBorders>
              <w:right w:val="single" w:sz="8" w:color="auto"/>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EE"/>
              </w:rPr>
              <w:t>Form of Kimberly-Clark 4.900% Notes due March 22, 2033 (included in Exhibit 4.14).</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412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500" w:type="dxa"/>
            <w:vAlign w:val="bottom"/>
            <w:tcBorders>
              <w:left w:val="single" w:sz="8" w:color="auto"/>
              <w:right w:val="single" w:sz="8" w:color="auto"/>
            </w:tcBorders>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0000EE"/>
              </w:rPr>
              <w:t>4.19</w:t>
            </w:r>
          </w:p>
        </w:tc>
        <w:tc>
          <w:tcPr>
            <w:tcW w:w="80" w:type="dxa"/>
            <w:vAlign w:val="bottom"/>
          </w:tcPr>
          <w:p>
            <w:pPr>
              <w:spacing w:after="0"/>
              <w:rPr>
                <w:sz w:val="14"/>
                <w:szCs w:val="14"/>
                <w:color w:val="auto"/>
              </w:rPr>
            </w:pPr>
          </w:p>
        </w:tc>
        <w:tc>
          <w:tcPr>
            <w:tcW w:w="8660" w:type="dxa"/>
            <w:vAlign w:val="bottom"/>
            <w:tcBorders>
              <w:right w:val="single" w:sz="8" w:color="auto"/>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EE"/>
              </w:rPr>
              <w:t>Form of Kimberly-Clark 5.100% Notes due March 22, 2043 (included in Exhibit 4.14).</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412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500" w:type="dxa"/>
            <w:vAlign w:val="bottom"/>
            <w:tcBorders>
              <w:left w:val="single" w:sz="8" w:color="auto"/>
              <w:right w:val="single" w:sz="8" w:color="auto"/>
            </w:tcBorders>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0000EE"/>
              </w:rPr>
              <w:t>4.20</w:t>
            </w:r>
          </w:p>
        </w:tc>
        <w:tc>
          <w:tcPr>
            <w:tcW w:w="80" w:type="dxa"/>
            <w:vAlign w:val="bottom"/>
          </w:tcPr>
          <w:p>
            <w:pPr>
              <w:spacing w:after="0"/>
              <w:rPr>
                <w:sz w:val="14"/>
                <w:szCs w:val="14"/>
                <w:color w:val="auto"/>
              </w:rPr>
            </w:pPr>
          </w:p>
        </w:tc>
        <w:tc>
          <w:tcPr>
            <w:tcW w:w="8660" w:type="dxa"/>
            <w:vAlign w:val="bottom"/>
            <w:tcBorders>
              <w:right w:val="single" w:sz="8" w:color="auto"/>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EE"/>
              </w:rPr>
              <w:t>Form of Kimberly-Clark 5.050% Notes due March 22, 2053 (included in Exhibit 4.14).</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412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500" w:type="dxa"/>
            <w:vAlign w:val="bottom"/>
            <w:tcBorders>
              <w:left w:val="single" w:sz="8" w:color="auto"/>
              <w:right w:val="single" w:sz="8" w:color="auto"/>
            </w:tcBorders>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0000EE"/>
              </w:rPr>
              <w:t>4.21</w:t>
            </w:r>
          </w:p>
        </w:tc>
        <w:tc>
          <w:tcPr>
            <w:tcW w:w="80" w:type="dxa"/>
            <w:vAlign w:val="bottom"/>
          </w:tcPr>
          <w:p>
            <w:pPr>
              <w:spacing w:after="0"/>
              <w:rPr>
                <w:sz w:val="14"/>
                <w:szCs w:val="14"/>
                <w:color w:val="auto"/>
              </w:rPr>
            </w:pPr>
          </w:p>
        </w:tc>
        <w:tc>
          <w:tcPr>
            <w:tcW w:w="8660" w:type="dxa"/>
            <w:vAlign w:val="bottom"/>
            <w:tcBorders>
              <w:right w:val="single" w:sz="8" w:color="auto"/>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EE"/>
              </w:rPr>
              <w:t>Form of Kimberly-Clark 5.200% Notes due March 22, 2063 (included in Exhibit 4.14).</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412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500" w:type="dxa"/>
            <w:vAlign w:val="bottom"/>
            <w:tcBorders>
              <w:left w:val="single" w:sz="8" w:color="auto"/>
              <w:right w:val="single" w:sz="8" w:color="auto"/>
            </w:tcBorders>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0000EE"/>
              </w:rPr>
              <w:t>10.1</w:t>
            </w:r>
          </w:p>
        </w:tc>
        <w:tc>
          <w:tcPr>
            <w:tcW w:w="80" w:type="dxa"/>
            <w:vAlign w:val="bottom"/>
          </w:tcPr>
          <w:p>
            <w:pPr>
              <w:spacing w:after="0"/>
              <w:rPr>
                <w:sz w:val="14"/>
                <w:szCs w:val="14"/>
                <w:color w:val="auto"/>
              </w:rPr>
            </w:pPr>
          </w:p>
        </w:tc>
        <w:tc>
          <w:tcPr>
            <w:tcW w:w="8660" w:type="dxa"/>
            <w:vAlign w:val="bottom"/>
            <w:tcBorders>
              <w:right w:val="single" w:sz="8" w:color="auto"/>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EE"/>
              </w:rPr>
              <w:t>Registration Rights Agreement, dated as of November 4, 2026, by and among the Corporation and J.P. Morgan</w:t>
            </w: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Borders>
              <w:right w:val="single" w:sz="8" w:color="auto"/>
            </w:tcBorders>
            <w:gridSpan w:val="4"/>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LLC, Citigroup Global Markets Inc. and Morgan Stanley &amp; Co. LLC, as lead dealer managers and lead</w:t>
            </w:r>
          </w:p>
        </w:tc>
        <w:tc>
          <w:tcPr>
            <w:tcW w:w="460" w:type="dxa"/>
            <w:vAlign w:val="bottom"/>
            <w:tcBorders>
              <w:right w:val="single" w:sz="8" w:color="auto"/>
            </w:tcBorders>
            <w:gridSpan w:val="4"/>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60" w:type="dxa"/>
            <w:vAlign w:val="bottom"/>
            <w:tcBorders>
              <w:right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solicitation agents.</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500" w:type="dxa"/>
            <w:vAlign w:val="bottom"/>
            <w:tcBorders>
              <w:left w:val="single" w:sz="8" w:color="auto"/>
              <w:right w:val="single" w:sz="8" w:color="auto"/>
            </w:tcBorders>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0000EE"/>
              </w:rPr>
              <w:t>99.1</w:t>
            </w:r>
          </w:p>
        </w:tc>
        <w:tc>
          <w:tcPr>
            <w:tcW w:w="80" w:type="dxa"/>
            <w:vAlign w:val="bottom"/>
          </w:tcPr>
          <w:p>
            <w:pPr>
              <w:spacing w:after="0"/>
              <w:rPr>
                <w:sz w:val="14"/>
                <w:szCs w:val="14"/>
                <w:color w:val="auto"/>
              </w:rPr>
            </w:pPr>
          </w:p>
        </w:tc>
        <w:tc>
          <w:tcPr>
            <w:tcW w:w="8660" w:type="dxa"/>
            <w:vAlign w:val="bottom"/>
            <w:tcBorders>
              <w:right w:val="single" w:sz="8" w:color="auto"/>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EE"/>
              </w:rPr>
              <w:t>Press Release issued by Kimberly-Clark Corporation on November 3, 2026.</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412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4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20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60" w:type="dxa"/>
            <w:vAlign w:val="bottom"/>
            <w:tcBorders>
              <w:bottom w:val="single" w:sz="8" w:color="auto"/>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The cover page from Kimberly-Clark Corporation’s Current Report on Form 8-K, formatted in Inline XBRL.</w:t>
            </w:r>
          </w:p>
        </w:tc>
      </w:tr>
      <w:tr>
        <w:trPr>
          <w:trHeight w:val="426"/>
        </w:trPr>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KIMBERLY-CLARK CORPORATION</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Nelson Urdaneta</w:t>
            </w:r>
          </w:p>
        </w:tc>
      </w:tr>
      <w:tr>
        <w:trPr>
          <w:trHeight w:val="20"/>
        </w:trPr>
        <w:tc>
          <w:tcPr>
            <w:tcW w:w="3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78"/>
        </w:trPr>
        <w:tc>
          <w:tcPr>
            <w:tcW w:w="3720" w:type="dxa"/>
            <w:vAlign w:val="bottom"/>
          </w:tcPr>
          <w:p>
            <w:pPr>
              <w:spacing w:after="0"/>
              <w:rPr>
                <w:sz w:val="15"/>
                <w:szCs w:val="15"/>
                <w:color w:val="auto"/>
              </w:rPr>
            </w:pPr>
          </w:p>
        </w:tc>
        <w:tc>
          <w:tcPr>
            <w:tcW w:w="7520" w:type="dxa"/>
            <w:vAlign w:val="bottom"/>
            <w:gridSpan w:val="2"/>
          </w:tcPr>
          <w:p>
            <w:pPr>
              <w:ind w:left="1920"/>
              <w:spacing w:after="0" w:line="177" w:lineRule="exact"/>
              <w:rPr>
                <w:sz w:val="20"/>
                <w:szCs w:val="20"/>
                <w:color w:val="auto"/>
              </w:rPr>
            </w:pPr>
            <w:r>
              <w:rPr>
                <w:rFonts w:ascii="Times New Roman" w:cs="Times New Roman" w:eastAsia="Times New Roman" w:hAnsi="Times New Roman"/>
                <w:sz w:val="18"/>
                <w:szCs w:val="18"/>
                <w:color w:val="auto"/>
              </w:rPr>
              <w:t>Name: Nelson Urdaneta</w:t>
            </w:r>
          </w:p>
        </w:tc>
      </w:t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tc>
      </w:tr>
      <w:tr>
        <w:trPr>
          <w:trHeight w:val="432"/>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4.14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TWELFTH SUPPLEMENTAL INDENTURE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Twelfth Supplemental Indenture, dated as of November 4, 2026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between Kimberly-Clark Corporation, a corporation duly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U.S. Bank Trust Company, National Association, a national banking association duly incorporated and existing under the laws of the United States, as successor trustee in respect of the Future Notes (as defined in the Eighth Supplemental Indenture referred to below)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amends and supplements that certain First Amended and Restated Indenture, dated as of March 1, 1988 (as heretofore supplemented and amended,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between the Corporation, the Trustee and The Bank of New York Mellon Trust Company, N.A., as successor trustee (the “</w:t>
      </w:r>
      <w:r>
        <w:rPr>
          <w:rFonts w:ascii="Times New Roman" w:cs="Times New Roman" w:eastAsia="Times New Roman" w:hAnsi="Times New Roman"/>
          <w:sz w:val="18"/>
          <w:szCs w:val="18"/>
          <w:u w:val="single" w:color="auto"/>
          <w:color w:val="auto"/>
        </w:rPr>
        <w:t>First Trustee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CORPORATION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Corporation has heretofore executed and delivered to the Trustee and the First Trustee the Base Indenture, as amended and supplemented by the First Supplemental Indenture, dated as of November 6, 1992, the Second Supplemental Indenture, dated as of May 25, 1994, the Third Supplemental Indenture, dated as of March 14, 2002, the Fourth Supplemental Indenture, dated as of December 19, 2006, the Fifth Supplemental Indenture, dated as of February 9, 2011, the Sixth Supplemental Indenture, dated as of September 7, 2017, the Seventh Supplemental Indenture, dated as of September 11, 2020, the Eighth Supplemental Indenture, dated as of October 27, 2021 (the “</w:t>
      </w:r>
      <w:r>
        <w:rPr>
          <w:rFonts w:ascii="Times New Roman" w:cs="Times New Roman" w:eastAsia="Times New Roman" w:hAnsi="Times New Roman"/>
          <w:sz w:val="18"/>
          <w:szCs w:val="18"/>
          <w:u w:val="single" w:color="auto"/>
          <w:color w:val="auto"/>
        </w:rPr>
        <w:t>Eighth Supplemental Indenture</w:t>
      </w:r>
      <w:r>
        <w:rPr>
          <w:rFonts w:ascii="Times New Roman" w:cs="Times New Roman" w:eastAsia="Times New Roman" w:hAnsi="Times New Roman"/>
          <w:sz w:val="18"/>
          <w:szCs w:val="18"/>
          <w:color w:val="auto"/>
        </w:rPr>
        <w:t>”), the Ninth Supplemental Indenture, dated as of November 2, 2021, the Tenth Supplemental Indenture, dated as of February 16, 2023 and the Eleventh Supplemental Indenture, dated as of October 29, 2026 (the Base Indenture, as so supplemented and amended by the 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301 of the Base Indenture provides for the issuance from time to time of unsecured debentures, notes and/or other evidences of indebtedness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of the Corporation, issuable in one or more series under and in accordance with the terms of the Base Indenture. The Corporation has duly authorized the creation of (i) an issue of its Securities named its 5.050% Notes due March 22, 2028 (the “</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(ii) an issue of its Securities named its 5.000% Notes due March 22, 2030 (the “</w:t>
      </w:r>
      <w:r>
        <w:rPr>
          <w:rFonts w:ascii="Times New Roman" w:cs="Times New Roman" w:eastAsia="Times New Roman" w:hAnsi="Times New Roman"/>
          <w:sz w:val="18"/>
          <w:szCs w:val="18"/>
          <w:u w:val="single" w:color="auto"/>
          <w:color w:val="auto"/>
        </w:rPr>
        <w:t>2030 Notes</w:t>
      </w:r>
      <w:r>
        <w:rPr>
          <w:rFonts w:ascii="Times New Roman" w:cs="Times New Roman" w:eastAsia="Times New Roman" w:hAnsi="Times New Roman"/>
          <w:sz w:val="18"/>
          <w:szCs w:val="18"/>
          <w:color w:val="auto"/>
        </w:rPr>
        <w:t>”), (iii) an issue of its Securities named its 4.850% Notes due May 22, 2032 (the “</w:t>
      </w:r>
      <w:r>
        <w:rPr>
          <w:rFonts w:ascii="Times New Roman" w:cs="Times New Roman" w:eastAsia="Times New Roman" w:hAnsi="Times New Roman"/>
          <w:sz w:val="18"/>
          <w:szCs w:val="18"/>
          <w:u w:val="single" w:color="auto"/>
          <w:color w:val="auto"/>
        </w:rPr>
        <w:t>2032 Notes</w:t>
      </w:r>
      <w:r>
        <w:rPr>
          <w:rFonts w:ascii="Times New Roman" w:cs="Times New Roman" w:eastAsia="Times New Roman" w:hAnsi="Times New Roman"/>
          <w:sz w:val="18"/>
          <w:szCs w:val="18"/>
          <w:color w:val="auto"/>
        </w:rPr>
        <w:t>”), (iv) an issue of its Securities named its 4.900% Notes due March 22, 2033 (the “</w:t>
      </w:r>
      <w:r>
        <w:rPr>
          <w:rFonts w:ascii="Times New Roman" w:cs="Times New Roman" w:eastAsia="Times New Roman" w:hAnsi="Times New Roman"/>
          <w:sz w:val="18"/>
          <w:szCs w:val="18"/>
          <w:u w:val="single" w:color="auto"/>
          <w:color w:val="auto"/>
        </w:rPr>
        <w:t>2033 Notes</w:t>
      </w:r>
      <w:r>
        <w:rPr>
          <w:rFonts w:ascii="Times New Roman" w:cs="Times New Roman" w:eastAsia="Times New Roman" w:hAnsi="Times New Roman"/>
          <w:sz w:val="18"/>
          <w:szCs w:val="18"/>
          <w:color w:val="auto"/>
        </w:rPr>
        <w:t>”), (v) an issue of its Securities named its 5.100% Notes due March 22, 2043 (the “</w:t>
      </w:r>
      <w:r>
        <w:rPr>
          <w:rFonts w:ascii="Times New Roman" w:cs="Times New Roman" w:eastAsia="Times New Roman" w:hAnsi="Times New Roman"/>
          <w:sz w:val="18"/>
          <w:szCs w:val="18"/>
          <w:u w:val="single" w:color="auto"/>
          <w:color w:val="auto"/>
        </w:rPr>
        <w:t>2043 Notes</w:t>
      </w:r>
      <w:r>
        <w:rPr>
          <w:rFonts w:ascii="Times New Roman" w:cs="Times New Roman" w:eastAsia="Times New Roman" w:hAnsi="Times New Roman"/>
          <w:sz w:val="18"/>
          <w:szCs w:val="18"/>
          <w:color w:val="auto"/>
        </w:rPr>
        <w:t>”), (vi) an issue of its Securities named its 5.050% Notes due March 22, 2053 (the “</w:t>
      </w:r>
      <w:r>
        <w:rPr>
          <w:rFonts w:ascii="Times New Roman" w:cs="Times New Roman" w:eastAsia="Times New Roman" w:hAnsi="Times New Roman"/>
          <w:sz w:val="18"/>
          <w:szCs w:val="18"/>
          <w:u w:val="single" w:color="auto"/>
          <w:color w:val="auto"/>
        </w:rPr>
        <w:t>2053 Notes</w:t>
      </w:r>
      <w:r>
        <w:rPr>
          <w:rFonts w:ascii="Times New Roman" w:cs="Times New Roman" w:eastAsia="Times New Roman" w:hAnsi="Times New Roman"/>
          <w:sz w:val="18"/>
          <w:szCs w:val="18"/>
          <w:color w:val="auto"/>
        </w:rPr>
        <w:t>”) and</w:t>
      </w:r>
    </w:p>
    <w:p>
      <w:pPr>
        <w:spacing w:after="0" w:line="5"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issue of its Securities named its 5.200% Notes due March 22, 2063 (the “</w:t>
      </w:r>
      <w:r>
        <w:rPr>
          <w:rFonts w:ascii="Times New Roman" w:cs="Times New Roman" w:eastAsia="Times New Roman" w:hAnsi="Times New Roman"/>
          <w:sz w:val="18"/>
          <w:szCs w:val="18"/>
          <w:u w:val="single" w:color="auto"/>
          <w:color w:val="auto"/>
        </w:rPr>
        <w:t>2063 Notes</w:t>
      </w:r>
      <w:r>
        <w:rPr>
          <w:rFonts w:ascii="Times New Roman" w:cs="Times New Roman" w:eastAsia="Times New Roman" w:hAnsi="Times New Roman"/>
          <w:sz w:val="18"/>
          <w:szCs w:val="18"/>
          <w:color w:val="auto"/>
        </w:rPr>
        <w:t>” and, collectively with the 2028 Notes, the 2030 Notes,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2032 Notes, the 2033 Notes, the 2043 Notes and the 2053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each of the tenor and in the amount hereinafter set forth.</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901(5) of the Base Indenture provides that the Corporation and the Trustee may enter into a supplemental indenture to change or eliminate any provision of the Base Indenture with respect to any series of Securities to be issued under the Base Indenture, provided that such change or elimination shall not be effective as to any Security Outstanding of any series created prior to the execution of such supplemental indenture which is entitled to the benefit of such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901(7) of the Base Indenture provides that the Corporation, without the consent of any Holders, when authorized by a Board Resolution, and the Trustee, at any time and from time to time, may enter into one or more indentures supplemental to the Indenture, in form satisfactory to the Trustee, to establish, among other things, the form or terms of Securities of any series as permitted by Sections 201 and 301 of the Base Indenture.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901(9) of the Base Indenture provides that the Corporation, without the consent of any Holders, when authorized by a Board Resolution, and the Trustee, at any time and from time to time, may enter into one or more indentures supplemental to the Indenture, to cure any ambiguity, to correct or supplement any provision in the Base Indenture which may be inconsistent with any other provision herein, or to make any other provisions with respect to matters or questions arising under the Base Indenture, provided such action shall not adversely affect the interests of the Holders of Securities of any series in any material respect.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Corporation wishes and has requested that the Trustee join with it in the execution and delivery of this Supplemental Indenture and the Corporation has provided the Trustee with a Board Resolution authorizing the execution of and approving this Supplemental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901(5), Section 901(7) and 901(9) of the Base Indenture, the Trustee is authorized to execute and deliver this Supplemental Indenture.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Corporation has duly authorized the execution and delivery of this Supplemental Indenture, and all things necessary have been done to make the Notes having a total aggregate principal amount of $6,376,039,000, when executed by the Corporation and authenticated and delivered pursuant to the Indenture and this Supplemental Indenture and duly issued by the Corporation, the valid obligations of the Corporation, and to make this Supplemental Indenture a valid agreement of the Corporation, in accordance with its terms.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things necessary have been done to make this Supplemental Indenture a valid and legally binding agreement of the Corporation, in accordance with its terms and to make the Notes, when executed by the Corporation and authenticated and delivered under the Indenture and duly issued by the Corporation, the valid and legally binding obligations of the Corporation.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SUPPLEMENTAL INDENTURE WITNESSETH: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and in consideration of the premises provided for herein, it is mutually covenanted and agreed, for the equal and proportionate benefit of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the Securities of such series, as 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Interest</w:t>
      </w:r>
      <w:r>
        <w:rPr>
          <w:rFonts w:ascii="Times New Roman" w:cs="Times New Roman" w:eastAsia="Times New Roman" w:hAnsi="Times New Roman"/>
          <w:sz w:val="18"/>
          <w:szCs w:val="18"/>
          <w:color w:val="auto"/>
        </w:rPr>
        <w:t>” has the meaning set forth in the Registration Rights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Procedures</w:t>
      </w:r>
      <w:r>
        <w:rPr>
          <w:rFonts w:ascii="Times New Roman" w:cs="Times New Roman" w:eastAsia="Times New Roman" w:hAnsi="Times New Roman"/>
          <w:sz w:val="18"/>
          <w:szCs w:val="18"/>
          <w:color w:val="auto"/>
        </w:rPr>
        <w:t>” means, with respect to any transfer or transaction involving a Global Note or beneficial interest therein, the rules and procedures of DTC, Euroclear and/or Clearstream, in each case to the extent applicable to such transaction and as in effect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means Clearstream Banking, S.A., Luxembourg;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the Trustee, as custodian with respect to the Notes, or any successor entity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 and any successor of The Depository Trust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means Euroclear Bank S.A./N.V., as operator of the Euroclear System and any successor of Euroclear Bank S.A./N.V.;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Notes</w:t>
      </w:r>
      <w:r>
        <w:rPr>
          <w:rFonts w:ascii="Times New Roman" w:cs="Times New Roman" w:eastAsia="Times New Roman" w:hAnsi="Times New Roman"/>
          <w:sz w:val="18"/>
          <w:szCs w:val="18"/>
          <w:color w:val="auto"/>
        </w:rPr>
        <w:t>” has the meaning specified in the Registration Rights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means the Notes issued pursuant to this Supplemental Indenture on the date hereof;</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means, with respect to the 2028 Notes, February 22, 2028 (one month prior to the maturity date of the 2028 Notes), with respect to the 2030 Notes, January 22, 2030 (two months prior to the maturity date of the 2030 Notes), with respect to the 2032 Notes, March 22, 2032 (two months prior to the maturity date of the 2032 Notes), with respect to the 2033 Notes, December 22, 2032 (three months prior to the maturity date of the 2033 Notes), with respect to the 2043 Notes, September 22, 2042 (six months prior to the maturity date of the 2043 Notes), with respect to the 2053 Notes, September 22, 2052 (six months prior to the maturity date of the 2053 Notes), and with respect to the 2063 Notes, September 22, 2062 (six months prior to the maturity date of the 2063 Notes);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 means qualified institutional buyer as specified in Rule 144A promulgated under the Securities Act;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Exchange Offer</w:t>
      </w:r>
      <w:r>
        <w:rPr>
          <w:rFonts w:ascii="Times New Roman" w:cs="Times New Roman" w:eastAsia="Times New Roman" w:hAnsi="Times New Roman"/>
          <w:sz w:val="18"/>
          <w:szCs w:val="18"/>
          <w:color w:val="auto"/>
        </w:rPr>
        <w:t>” means the offer by the Corporation, pursuant to the Registration Rights Agreement, to certain Holders of Initial Notes, to issue and deliver to such Holders, in exchange for their Initial Notes, a like aggregate principal amount of Exchange Notes in an exchange registered under the Securities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Notes</w:t>
      </w:r>
      <w:r>
        <w:rPr>
          <w:rFonts w:ascii="Times New Roman" w:cs="Times New Roman" w:eastAsia="Times New Roman" w:hAnsi="Times New Roman"/>
          <w:sz w:val="18"/>
          <w:szCs w:val="18"/>
          <w:color w:val="auto"/>
        </w:rPr>
        <w:t>” means all Notes offered and issued in an offshore transaction in reliance on Regulation 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dated as of November 4, 2026, by and among the Corporation and J.P. Morgan Securities LLC, Citigroup Global Markets Inc. and Morgan Stanley &amp; Co. LLC, as lead dealer managers and lead solicitation agents on behalf of themselves and the several co-dealer managers and co-solicitation agents named in Schedule I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Notes Legend</w:t>
      </w:r>
      <w:r>
        <w:rPr>
          <w:rFonts w:ascii="Times New Roman" w:cs="Times New Roman" w:eastAsia="Times New Roman" w:hAnsi="Times New Roman"/>
          <w:sz w:val="18"/>
          <w:szCs w:val="18"/>
          <w:color w:val="auto"/>
        </w:rPr>
        <w:t>” means the legends set forth in Section 2.4(iv) hereof, other than the Global Notes Legend;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the period that is (i) one year (in the case of Rule 144A Notes) after the later of the issue date of the Notes issued hereby or any other issue date in respect of a further issuance of Notes of the same series of the Notes issued hereby and the last date that the Corporation or any of its Affiliates was the owner of the Notes or any predecessor of the Notes or (ii) 40 days (in the case of Regulation S Notes) after the later of the issue date of the Notes issued hereby or any other issue date in respect of a further issuance of Notes of the same series of the Notes issued hereby and the date on which the Notes (or any predecessor of the Notes) were first offered to Persons other than distributors (as defined in Rule 902 of Regulation S) in reliance on Regulation 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 Notes</w:t>
      </w:r>
      <w:r>
        <w:rPr>
          <w:rFonts w:ascii="Times New Roman" w:cs="Times New Roman" w:eastAsia="Times New Roman" w:hAnsi="Times New Roman"/>
          <w:sz w:val="18"/>
          <w:szCs w:val="18"/>
          <w:color w:val="auto"/>
        </w:rPr>
        <w:t>” means all Notes offered and issued to Holders reasonably believed to be QIBs in reliance on Rule 144A;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Restricted Note</w:t>
      </w:r>
      <w:r>
        <w:rPr>
          <w:rFonts w:ascii="Times New Roman" w:cs="Times New Roman" w:eastAsia="Times New Roman" w:hAnsi="Times New Roman"/>
          <w:sz w:val="18"/>
          <w:szCs w:val="18"/>
          <w:color w:val="auto"/>
        </w:rPr>
        <w:t>” means any Note that bears or is required to bear a Restricted Notes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Issuance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312" w:lineRule="auto"/>
        <w:rPr>
          <w:sz w:val="20"/>
          <w:szCs w:val="20"/>
          <w:color w:val="auto"/>
        </w:rPr>
      </w:pPr>
      <w:r>
        <w:rPr>
          <w:rFonts w:ascii="Times New Roman" w:cs="Times New Roman" w:eastAsia="Times New Roman" w:hAnsi="Times New Roman"/>
          <w:sz w:val="17"/>
          <w:szCs w:val="17"/>
          <w:color w:val="auto"/>
        </w:rPr>
        <w:t>(i)            The title of the Notes shall be: 5.050% Notes due March 22, 2028; 5.000% Notes due March 22, 2030; 4.850% Notes due May 22, 2032; 4.900% Notes due March 22, 2033; 5.100% Notes due March 22, 2043; 5.050% Notes due March 22, 2053; and 5.200% Notes due March 22, 2063.</w:t>
      </w:r>
    </w:p>
    <w:p>
      <w:pPr>
        <w:spacing w:after="0" w:line="14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            (a) The initial aggregate principal amount of the 2028 Notes that may be authenticated and delivered under the Indenture shall be $739,347,000, (b) the aggregate principal amount of the 2030 Notes that may be authenticated and delivered under the Indenture shall be $846,989,000,</w:t>
      </w:r>
    </w:p>
    <w:p>
      <w:pPr>
        <w:jc w:val="both"/>
        <w:ind w:firstLine="8"/>
        <w:spacing w:after="0" w:line="252"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2032 Notes that may be authenticated and delivered under the Indenture shall be $702,706,000, (d) the aggregate principal amount of the 2033 Notes that may be authenticated and delivered under the Indenture shall be $1,152,617,000, (e) the aggregate principal amount of the 2043 Notes that may be authenticated and delivered under the Indenture shall be $728,377,000, (f) the aggregate principal amount of the 2053 Notes that may be authenticated and delivered under the Indenture shall be $1,478,073,000 and (g) the aggregate principal amount of the 2063 Notes that may be authenticated and delivered under the Indenture shall be $727,930,000; except, in each case, for the Notes authenticated and delivered upon registration of transfer of, or in exchange for, or in lieu of, other Securities pursuant to or as contemplated by Sections 304, 305, 306, 906 or 1107 of the Indenture or any Exchange Notes issued with respect to the Notes of such series in accordance with the Registration Rights Agreement.</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(iii)            (a) The principal of the 2028 Notes shall be payable on March 22, 2028, (b) the principal of the 2030 Notes shall be payable on March 22, 2030, (c) the principal of the 2032 Notes shall be payable on May 22, 2032, (d) the principal of the 2033 Notes shall be payable on March 22, 2033, (e) the principal of the 2043 Notes shall be payable on March 22, 2043, (f) the principal of the 2053 Notes shall be payable on March 22, 2053 and (g) the principal of the 2063 Notes shall be payable on March 22, 2063.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(iv)            (a) the 2028 Notes shall bear interest at 5.050% per annum, and such interest shall accrue from September 22, 2026; the Interest Payment Dates on which such interest shall be payable shall be March 22 and September 22 of each year commencing March 22, 2027; and the Regular Record Dates for the interest payable on any Interest Payment Dates shall be March 7 and September 7, respectively, (b) the 2030 Notes shall bear interest at 5.000% per annum, and such interest shall accrue from September 22, 2026; the Interest Payment Dates on which such interest shall be payable shall be March 22 and September 22 of each year commencing March 22, 2027; and the Regular Record Dates for the interest payable on any Interest Payment Dates shall be March 7 and September 7, respectively, (c) the 2032 Notes shall bear interest at 4.850% per annum, and such interest shall accrue from May 22, 2026; the Interest Payment Dates on which such interest shall be payable shall be May 22 and November 22 of each year commencing November 22, 2026; and the Regular Record Dates for the interest payable on any Interest Payment Dates shall be May 7 and November 7, respectively,</w:t>
      </w:r>
    </w:p>
    <w:p>
      <w:pPr>
        <w:spacing w:after="0" w:line="1" w:lineRule="exact"/>
        <w:rPr>
          <w:sz w:val="20"/>
          <w:szCs w:val="20"/>
          <w:color w:val="auto"/>
        </w:rPr>
      </w:pPr>
    </w:p>
    <w:p>
      <w:pPr>
        <w:jc w:val="both"/>
        <w:ind w:firstLine="8"/>
        <w:spacing w:after="0" w:line="251" w:lineRule="auto"/>
        <w:tabs>
          <w:tab w:leader="none" w:pos="2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2033 Notes shall bear interest at 4.900% per annum, and such interest shall accrue from September 22, 2026; the Interest Payment Dates on which such interest shall be payable shall be March 22 and September 22 of each year commencing March 22, 2027; and the Regular Record Dates for the interest payable on any Interest Payment Dates shall be March 7 and September 7, respectively, (e) the 2043 Notes shall bear interest at 5.100% per annum, and such interest shall accrue from September 22, 2026; the Interest Payment Dates on which such interest shall be payable shall be March 22 and September 22 of each year commencing March 22, 2027; and the Regular Record Dates for the interest payable on any Interest Payment Dates shall be March 7 and September 7, respectively, (f) the 2053 Notes shall bear interest at 5.050% per annum, and such interest shall accrue from September 22, 2026; the Interest Payment Dates on which such interest shall be payable shall be March 22 and September 22 of each year commencing March 22, 2027; and the Regular Record Dates for the interest payable on any Interest Payment Dates shall be March 7 and September 7, respectively, and (g) the 2063 Notes shall bear interest at 5.200% per annum, and such interest shall accrue from September 22, 2026; the Interest Payment Dates on which such interest shall be payable shall be March 22 and September 22 of each year commencing March 22, 2027; and the Regular Record Dates for the interest payable on any Interest Payment Dates shall be March 7 and September 7, respectively. All references in the Indenture to any interest or other amount payable on or with respect to the Notes of a series will be deemed to include Additional Interest pursuant to the Registration Rights Agreement, if any. Any amounts of Additional Interest due will be payable in cash on the same original Interest Payment Dates as interest on the Notes is payable.</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(v)            The Corporation may from time to time, without notice to or the consent of the Holders of the Notes, create and issue additional Notes ranking equally with the Notes in all respects (or in all respects other than the payment of interest accruing prior to the issue date of such additional Notes or except, in some cases, for the first payment of interest following the issue date of such additional Notes). Such additional Notes may be consolidated and form a single series with the previously issued Notes and have the same terms as to status, redemption or otherwise as the Notes.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1300"/>
        <w:spacing w:after="0"/>
        <w:rPr>
          <w:sz w:val="20"/>
          <w:szCs w:val="20"/>
          <w:color w:val="auto"/>
        </w:rPr>
      </w:pPr>
      <w:r>
        <w:rPr>
          <w:rFonts w:ascii="Times New Roman" w:cs="Times New Roman" w:eastAsia="Times New Roman" w:hAnsi="Times New Roman"/>
          <w:sz w:val="18"/>
          <w:szCs w:val="18"/>
          <w:color w:val="auto"/>
        </w:rPr>
        <w:t>(vi)            The Notes shall be issued in minimum denominations of $2,000 and integral multiples of $1,000 in excess thereof.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            The Notes shall not be entitled to any sinking fund.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The Notes shall be represented by one or more Global Securities registered in the name of DTC or its nominee.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(ix)            Sections 402 and 1006 of the Indenture, as amended by this Supplemental Indenture, captioned “Defeasance and Discharge of Securities of Any Series” and “Defeasance of Certain Obligations,” respectively, shall apply to the Notes.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(x)            Anything in the Indenture or the Notes of a series to the contrary notwithstanding, for the purposes of the transactions contemplated by the Indenture relating to the Notes of a series, the Notes of a series and any document to be signed in connection with the Indenture or such Notes (including the Notes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(xi)            Each of the officers of the Corporation whose signature is affixed to this Supplemental Indenture further states pursuant to Section 102 of the Indenture that she or he has read the provisions of such Indenture setting forth the covenants and conditions relating to the issuance, authentication and delivery of the Notes, including Sections 201, 301 and 303 of the Indenture, and the definitions relating thereto; that the statements made in this Supplemental Indenture are based upon the examination of such provisions of the Indenture and upon the relevant books and records of the Corporation; that she or he has, in her or his opinion, made such examination or investigation as is necessary to enable her or him to express an informed opinion as to whether or not the covenants and conditions relating to the issuance, authentication and delivery of the Notes have been complied with; and that, in her or his opinion, such covenants and conditions, and all conditions precedent, have been complied with.</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(xii)            The Corporation will make payments of principal and premium, if any, and interest on the Notes, and the Holder may exchange and transfer the Notes, at the office of the Trustee at U.S. Bank Trust Company, National Association, Global Corporate Trust, 111 Fillmore Ave E, St. Paul, MN 55107. The Corporation may elect to pay any interest by check mailed by first class mail to the address of the Person entitled to receive the payment as it appears in the Trustee’s security register. Payments in respect of Notes represented by a Global Note (including principal, premium, if any, and interest) will be made by wire transfer of immediately available funds to the accounts specified by DTC.</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Redemption of the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            Prior to the applicable Par Call Date, the Corporation may redeem the applicable series of the Notes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such series of the Notes matured on the applicable Par Call Date) on a semi-annual basis (assuming a 360-day year consisting of twelve 30-day months) at the Treasury Rate plus 15 basis points in the case of the 2028 Notes, 15 basis points in the case of the 2030 Notes, 10 basis points in the case of the 2032 Notes, 15 basis points in the case of the 2033 Notes, 20 basis points in the case of the 2043 Notes, 20 basis points in the case of the 2053 Notes or 25 basis points in the case of the 2063 Notes, less (b) interest accrued to, but excluding, the Redemption Date, and (2) 100% of the principal amount of the Notes to be redeemed, plus, in either case, accrued and unpaid interest thereon to, but excluding, the Redemption Date. On or after the applicable Par Call Date, the Corporation may redeem the applicable series of the Notes, in whole or in part, at any time and from time to time, at a Redemption Price equal to 100% of the principal amount of such series of the Notes being redeemed plus accrued and unpaid interest thereon to, but excluding, the Redemption Date.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Corporation in accordance with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paragraphs.</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Treasury Rate will be determined by the Corporation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Corporation will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the Corporation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Corporation will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Corporation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Corporation’s actions and determinations in determining the Redemption Price shall be conclusive and binding for all purposes, absent manifest error. The Corporation shall notify the Trustee of the Redemption Price promptly after the calculation thereof, and the Trustee may rely upon the Redemption Price contained in any such notice and the Trustee shall not be responsible for, or be liable in connection with, the calculation of such Redemption Price (or any component thereof) or for determining whether manifest error has occurred.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any series of the Notes that are due and payable on Interest Payment Dates falling on or prior to the Redemption Date will be payable on such Interest Payment Dates to the registered holders as of the close of business on the Regular Record Dates for the payment of interest in accordance with the Notes and the Indenture.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(ii)            Notice of any redemption shall be given in the manner provided in Article Eleven of the Indenture; provided, however, that such notice will be mailed or electronically delivered (or otherwise transmitted in accordance with the Depository’s procedures) at least 10 days but not more than 60 days before the Redemption Date to each Holder of the Notes to be redeemed. Notice of any redemption of the Notes may, at the Corporation’s discretion, be given subject to one or more conditions precedent, including, but not limited to, completion of a corporate transaction. If such redemption is so subject to satisfaction of one or more conditions precedent, such notice shall describe each such condition, and, if applicable, will state that at the Corporation’s discretion, the Redemption Date may be delayed (including more than 60 days after the notice of redemption was given) until such time as any or all such conditions precedent will be satisfied (or waived by the Corporation in the Corporation’s sole discretion), or such notice may be rescinded in the event that any or all such conditions shall not have been satisfied or otherwise waived by the Redemption Date, or by the Redemption Date as so delayed. If any such redemption has been rescinded or delayed, the Corporation will provide written notice to the Trustee prior to the close of business two Business Days before the Redemption Date and, upon receipt, the Trustee will provide such notice to each registered holder of the Notes. Once notice of redemption is mailed or sent, subject to the satisfaction or waiver (in the Corporation’s sole discretion) of any conditions precedent provided in the notice of redemption, the Notes called for redemption will become due and payable on the Redemption Date and at the applicable Redemption Price, plus accrued and unpaid interest to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so long as the Notes are held by DTC (or another depositary), the redemption of the Notes, including the allocation of the Redemption Price among beneficial owners of the Notes, shall be done in accordance with the Applicable Procedures. Unless the Corporation defaults in payment of the Redemption Price, on and after the Redemption Date interest will cease to accrue on the Notes or portions thereof called for redemption.</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(iii)            Notwithstanding anything to the contrary herein or in the Base Indenture, the Corporation and its Affiliates may, at any time and from time to time, purchase, repurchase, redeem, exchange, defease or otherwise acquire or retire the Corporation’s or any of its subsidiaries’ outstanding debt securities or loans, including the Notes, by any means other than a redemption that is subject to the provisions described herein (and, for the avoidance of doubt, without being subject to any pro rata repurchase requirement) from any Person, upon such terms and conditions, at such prices and with such considerations as the Corporation and its Affiliates may determine, including in negotiated transactions, open market purchases, by tender offer or any other transactions with one or more holders or beneficial owners of the Notes.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Forms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            The Notes shall be in substantially the forms set forth in Exhibits A1-A7 to this Supplemental Indenture (other than, (x) with respect to any additional Notes of any series of the Notes, changes related to issue date, issue price and first Interest Payment Date of such additional Notes and (y) with respect to any Exchange Notes of any series of the Notes, changes related to legends, transfer restrictions, CUSIP/ISIN numbers and other changes customary for registered notes), in each case with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as may, consistently herewith, be determined by the officers executing such Notes, as evidenced by their execution of the Notes. The Notes of each series and any additional Notes of such series subsequently issued under the Indenture, together with any Exchange Notes issued with respect to the Notes of such series in accordance with the Registration Rights Agreement, will be treated as a single series or class for all purposes under the Indenture, including, without limitation, waivers, amendments and redemptions; provided that, if any such additional Notes are not fungible with the existing Notes for Federal income tax purposes, such additional Notes will have a separate CUSIP number.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firstLine="1296"/>
        <w:spacing w:after="0" w:line="282" w:lineRule="auto"/>
        <w:rPr>
          <w:sz w:val="20"/>
          <w:szCs w:val="20"/>
          <w:color w:val="auto"/>
        </w:rPr>
      </w:pPr>
      <w:r>
        <w:rPr>
          <w:rFonts w:ascii="Times New Roman" w:cs="Times New Roman" w:eastAsia="Times New Roman" w:hAnsi="Times New Roman"/>
          <w:sz w:val="18"/>
          <w:szCs w:val="18"/>
          <w:color w:val="auto"/>
        </w:rPr>
        <w:t>Any definitive Notes shall be printed, lithographed or engraved on steel engraved borders or may be produced in any other manner, all as determined by the officers executing such Notes, as evidenced by their execution of such Notes.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Global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Initial Notes shall be issued by the Corporation, pursuant to the terms set forth in the confidential offering memorandum and consent solicitation statement, dated September 28, 2026 (as amended or supplemented from time to time), initially only (A) to Persons reasonably believed to be QIBs in reliance on Rule 144A or (B) outside the United States, to Persons other than “U.S. persons” as defined in Rule 902 under the Securities Act in compliance with Regulation S. Notes may thereafter be transferred to, among others, transferees reasonably believed to be QIBs, and transferees in reliance on Regulation S, subject to the restrictions on transfer set forth herein. Notes initially issued to QIBs shall be issued in the form of one or more permanent global securities in fully registered form (collectively, the “</w:t>
      </w:r>
      <w:r>
        <w:rPr>
          <w:rFonts w:ascii="Times New Roman" w:cs="Times New Roman" w:eastAsia="Times New Roman" w:hAnsi="Times New Roman"/>
          <w:sz w:val="18"/>
          <w:szCs w:val="18"/>
          <w:u w:val="single" w:color="auto"/>
          <w:color w:val="auto"/>
        </w:rPr>
        <w:t>Rule 144A Global Note</w:t>
      </w:r>
      <w:r>
        <w:rPr>
          <w:rFonts w:ascii="Times New Roman" w:cs="Times New Roman" w:eastAsia="Times New Roman" w:hAnsi="Times New Roman"/>
          <w:sz w:val="18"/>
          <w:szCs w:val="18"/>
          <w:color w:val="auto"/>
        </w:rPr>
        <w:t>”) and Notes initially issued pursuant to Regulation S shall be issued in the form of one or more permanent global securities in fully registered form (collectively, the “</w:t>
      </w:r>
      <w:r>
        <w:rPr>
          <w:rFonts w:ascii="Times New Roman" w:cs="Times New Roman" w:eastAsia="Times New Roman" w:hAnsi="Times New Roman"/>
          <w:sz w:val="18"/>
          <w:szCs w:val="18"/>
          <w:u w:val="single" w:color="auto"/>
          <w:color w:val="auto"/>
        </w:rPr>
        <w:t>Regulation S Global Note</w:t>
      </w:r>
      <w:r>
        <w:rPr>
          <w:rFonts w:ascii="Times New Roman" w:cs="Times New Roman" w:eastAsia="Times New Roman" w:hAnsi="Times New Roman"/>
          <w:sz w:val="18"/>
          <w:szCs w:val="18"/>
          <w:color w:val="auto"/>
        </w:rPr>
        <w:t>”), in each case without interest coupons and with the Global Notes Legend and the applicable Restricted Notes Legend set forth in Section 2.4(iv) hereof, which shall be deposited on behalf of the Holders of the Notes represented thereby with the Trustee, as custodian for DTC and registered in the name of the Custodian or a nominee of DTC, duly executed by the Corporation and authenticated by the Trustee as provided in this Supplemental Indenture.</w:t>
      </w:r>
    </w:p>
    <w:p>
      <w:pPr>
        <w:spacing w:after="0" w:line="19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Transfers by an owner of a beneficial interest in a Regulation S Global Note to a transferee who takes delivery of such interest through a Rule 144A Global Note, whether before or after the expiration of the Restricted Period, shall be made only upon receipt by the Trustee of a certification substantially in the form set forth in Exhibit B hereto.</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(c)            Transfers by an owner of a beneficial interest in a Rule 144A Global Note to a transferee who takes delivery of such interest through a Regulation S Global Note, whether before or after the expiration of the Restricted Period, shall be made only upon receipt by the Trustee of a certification substantially in the form set forth in Exhibit B hereto.</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The Rule 144A Global Notes and the Regulation S Global Notes are collectively referred to herein as “</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each of which shall be a Global Security (as defined in the Indenture). The aggregate principal amount of the Global Notes may from time to time be increased or decreased by adjustments made on the records of the Trustee and DTC or its nominee as hereinafter provided.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Special Transfer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Restrictions on Transfer of a Note in definitive form for a Beneficial Interest in a Global Note</w:t>
      </w:r>
      <w:r>
        <w:rPr>
          <w:rFonts w:ascii="Times New Roman" w:cs="Times New Roman" w:eastAsia="Times New Roman" w:hAnsi="Times New Roman"/>
          <w:sz w:val="18"/>
          <w:szCs w:val="18"/>
          <w:color w:val="auto"/>
        </w:rPr>
        <w:t>. A definitive Note may not be exchanged for a beneficial interest in a Global Note except upon satisfaction of the requirements set forth below. Upon receipt by the Trustee of a definitive Note, duly endorsed or accompanied by a written instrument of transfer in form reasonably satisfactory to the Corporation and the Security Registrar, together with:</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 certification substantially in the form set forth in Exhibit B hereto; and</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(b)            written instructions directing the Trustee to make, or to direct the Custodian to make, an adjustment on its books and records with respect to such Global Note to reflect an increase in the aggregate principal amount of the Notes represented by the Global Note, such instructions to contain information regarding DTC account to be credited with such increase, then the Trustee shall cancel such definitive Note and cause, or direct the Custodian to cause, in accordance with the standing instructions and procedures existing between DTC and the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no Global Notes are then Outstanding and the Global Note has not been previously exchanged for certificated securities pursuant to Section 305 of the Indenture, the Corporation shall issue and the Trustee shall authenticate, upon receipt of a Company Order, a new Global Note in the appropriate principal amount.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Transfer and Exchange of Global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The transfer and exchange of Global Notes or beneficial interests therein shall be effected through DTC, in accordance with the Indenture (including applicable restrictions on transfer set forth herein, if any) and the Applicable Procedures.</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If the proposed transfer is a transfer of a beneficial interest in one Global Note to a beneficial interest in another Global Note, the Security Registrar shall reflect on its books and records the date and an increase in the principal amount of the Global Note to which such interest is being transferred in an amount equal to the principal amount of the interest to be so transferred, and the Security Registrar shall reflect on its books and records the date and a corresponding decrease in the principal amount of the Global Note from which such interest is being transferred.</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In the event that a Global Note is exchanged for Notes in definitive form prior to the consummation of the Registered Exchange Offer or the effectiveness of the shelf registration statement with respect to such Notes, such Notes may be exchanged only in accordance with such procedures as are substantially consistent with the provisions of this section (including Exhibit B hereto) and such other procedures as may from time to time be adopted by the Corporation.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Additional Restrictions on Transfer of Regulation S Global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Prior to the expiration of the Restricted Period, (A) interests in a Regulation S Global Note may only be held through Euroclear or Clearstream and (B) transfers of beneficial interests in a Regulation S Global Note may not be made to a U.S. person or for the account or benefit of a U.S.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Upon the expiration of the Restricted Period, beneficial ownership interests in a Regulation S Global Note shall be transferable in accordance with applicable law and the other terms of the Indenture.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Legend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Except as permitted by the following paragraphs (b), (c), (d) or (e) each Note certificate evidencing the Global Notes and the definitive Notes (and all Notes issued in exchange therefor or in substitution thereof) shall bear a legend in substantially the following form (each defined term in the legend being defined as such for purposes of the legend only):</w:t>
      </w:r>
    </w:p>
    <w:p>
      <w:pPr>
        <w:spacing w:after="0" w:line="176" w:lineRule="exact"/>
        <w:rPr>
          <w:sz w:val="20"/>
          <w:szCs w:val="20"/>
          <w:color w:val="auto"/>
        </w:rPr>
      </w:pPr>
    </w:p>
    <w:p>
      <w:pPr>
        <w:jc w:val="both"/>
        <w:ind w:left="640" w:firstLine="648"/>
        <w:spacing w:after="0" w:line="267" w:lineRule="auto"/>
        <w:rPr>
          <w:sz w:val="20"/>
          <w:szCs w:val="20"/>
          <w:color w:val="auto"/>
        </w:rPr>
      </w:pPr>
      <w:r>
        <w:rPr>
          <w:rFonts w:ascii="Times New Roman" w:cs="Times New Roman" w:eastAsia="Times New Roman" w:hAnsi="Times New Roman"/>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“RESALE RESTRICTION TERMINATION DATE”) THAT IS [IN THE CASE OF RULE 144A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w:t>
      </w:r>
    </w:p>
    <w:p>
      <w:pPr>
        <w:spacing w:after="0" w:line="1" w:lineRule="exact"/>
        <w:rPr>
          <w:sz w:val="20"/>
          <w:szCs w:val="20"/>
          <w:color w:val="auto"/>
        </w:rPr>
      </w:pPr>
    </w:p>
    <w:p>
      <w:pPr>
        <w:jc w:val="both"/>
        <w:ind w:left="640" w:firstLine="4"/>
        <w:spacing w:after="0" w:line="250" w:lineRule="auto"/>
        <w:tabs>
          <w:tab w:leader="none" w:pos="9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w:t>
      </w:r>
    </w:p>
    <w:p>
      <w:pPr>
        <w:spacing w:after="0" w:line="3" w:lineRule="exact"/>
        <w:rPr>
          <w:rFonts w:ascii="Times New Roman" w:cs="Times New Roman" w:eastAsia="Times New Roman" w:hAnsi="Times New Roman"/>
          <w:sz w:val="18"/>
          <w:szCs w:val="18"/>
          <w:color w:val="auto"/>
        </w:rPr>
      </w:pPr>
    </w:p>
    <w:p>
      <w:pPr>
        <w:jc w:val="both"/>
        <w:ind w:left="6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w:t>
      </w:r>
    </w:p>
    <w:p>
      <w:pPr>
        <w:spacing w:after="0" w:line="7" w:lineRule="exact"/>
        <w:rPr>
          <w:rFonts w:ascii="Times New Roman" w:cs="Times New Roman" w:eastAsia="Times New Roman" w:hAnsi="Times New Roman"/>
          <w:sz w:val="18"/>
          <w:szCs w:val="18"/>
          <w:color w:val="auto"/>
        </w:rPr>
      </w:pPr>
    </w:p>
    <w:p>
      <w:pPr>
        <w:jc w:val="both"/>
        <w:ind w:left="640" w:firstLine="4"/>
        <w:spacing w:after="0" w:line="251" w:lineRule="auto"/>
        <w:tabs>
          <w:tab w:leader="none" w:pos="9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200" w:lineRule="exact"/>
        <w:rPr>
          <w:sz w:val="20"/>
          <w:szCs w:val="20"/>
          <w:color w:val="auto"/>
        </w:rPr>
      </w:pPr>
    </w:p>
    <w:p>
      <w:pPr>
        <w:spacing w:after="0" w:line="2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122" w:gutter="0" w:footer="0" w:header="0"/>
        </w:sectPr>
      </w:pPr>
    </w:p>
    <w:bookmarkStart w:id="20" w:name="page21"/>
    <w:bookmarkEnd w:id="20"/>
    <w:p>
      <w:pPr>
        <w:ind w:left="1960"/>
        <w:spacing w:after="0"/>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w:t>
      </w:r>
    </w:p>
    <w:p>
      <w:pPr>
        <w:spacing w:after="0" w:line="27" w:lineRule="exact"/>
        <w:rPr>
          <w:sz w:val="20"/>
          <w:szCs w:val="20"/>
          <w:color w:val="auto"/>
        </w:rPr>
      </w:pPr>
    </w:p>
    <w:p>
      <w:pPr>
        <w:jc w:val="both"/>
        <w:ind w:left="1300" w:firstLine="4"/>
        <w:spacing w:after="0" w:line="251" w:lineRule="auto"/>
        <w:tabs>
          <w:tab w:leader="none" w:pos="15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BENEFIT PLAN” (AS DEFINED IN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THAT IS SUBJECT TO TITLE I OF ERISA, (II) A PLAN DESCRIBED IN SECTION 4975(E)(1) OF THE INTERNAL REVENUE CODE OF 1986, </w:t>
      </w:r>
      <w:r>
        <w:rPr>
          <w:rFonts w:ascii="Times New Roman" w:cs="Times New Roman" w:eastAsia="Times New Roman" w:hAnsi="Times New Roman"/>
          <w:sz w:val="18"/>
          <w:szCs w:val="18"/>
          <w:u w:val="single" w:color="auto"/>
          <w:color w:val="auto"/>
        </w:rPr>
        <w:t>AS AMENDED (THE “CODE</w:t>
      </w:r>
      <w:r>
        <w:rPr>
          <w:rFonts w:ascii="Times New Roman" w:cs="Times New Roman" w:eastAsia="Times New Roman" w:hAnsi="Times New Roman"/>
          <w:sz w:val="18"/>
          <w:szCs w:val="18"/>
          <w:color w:val="auto"/>
        </w:rPr>
        <w:t xml:space="preserve">”),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w:t>
      </w:r>
      <w:r>
        <w:rPr>
          <w:rFonts w:ascii="Times New Roman" w:cs="Times New Roman" w:eastAsia="Times New Roman" w:hAnsi="Times New Roman"/>
          <w:sz w:val="18"/>
          <w:szCs w:val="18"/>
          <w:u w:val="single" w:color="auto"/>
          <w:color w:val="auto"/>
        </w:rPr>
        <w:t>“SIMILAR LAWS</w:t>
      </w:r>
      <w:r>
        <w:rPr>
          <w:rFonts w:ascii="Times New Roman" w:cs="Times New Roman" w:eastAsia="Times New Roman" w:hAnsi="Times New Roman"/>
          <w:sz w:val="18"/>
          <w:szCs w:val="18"/>
          <w:color w:val="auto"/>
        </w:rPr>
        <w:t>”)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19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Each Note evidencing a Global Note offered and issued to non-U.S. persons outside the United States in reliance on Regulation S shall bear a legend substantially in the following form:</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Global Note shall bear a legend substantially in the following form (collectively, the “Global Notes Legend”):</w:t>
      </w:r>
    </w:p>
    <w:p>
      <w:pPr>
        <w:spacing w:after="0" w:line="225"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Each Note in definitive form shall bear the following additional legend:</w:t>
      </w:r>
    </w:p>
    <w:p>
      <w:pPr>
        <w:spacing w:after="0" w:line="225" w:lineRule="exact"/>
        <w:rPr>
          <w:sz w:val="20"/>
          <w:szCs w:val="20"/>
          <w:color w:val="auto"/>
        </w:rPr>
      </w:pPr>
    </w:p>
    <w:p>
      <w:pPr>
        <w:jc w:val="both"/>
        <w:ind w:left="1300"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Upon any sale or transfer of a Transfer Restricted Note that is a definitive Note, the Security Registrar shall permit the Holder thereof to exchange such Transfer Restricted Note for a definitive Note that does not bear the legends set forth above and rescind any restriction on the transfer of such Transfer Restricted Note if the Holder delivers to the Corporation and the Security Registrar a written certification substantially in the form set forth in Exhibit B hereto; provided, that such Holder must, at the request of the Corporation, deliver an opinion of counsel reasonably acceptable to the Corporation.</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(c)            After a transfer of any Initial Notes during the period of the effectiveness of a shelf registration statement with respect to such Initial Notes, as the case may be, all requirements pertaining to the Restricted Notes Legend on such Initial Notes shall cease to apply and the requirements that any such Initial Notes be issued in global form shall continue to apply.</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(d)            Upon the consummation of a Registered Exchange Offer with respect to the Initial Notes pursuant to which Holders of such Initial Notes are offered Exchange Notes in exchange for their Initial Notes, all requirements pertaining to Initial Notes that Initial Notes be issued in global form shall continue to apply, and Exchange Notes in global form without the Restricted Notes Legend shall be available to Holders that exchange such Initial Notes in such Registered Exchange Offer.</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            Upon a sale or transfer after the expiration of the Restricted Period of any Initial Note, all requirements that such Initial Note bear the Restricted Notes Legend shall cease to apply and the requirements requiring any such Initial Note be issued in global form shall continue to apply.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(v)            By its acceptance of any Note bearing any legend in Section 2.4(iv) hereof, each Holder of such Note acknowledges the restrictions on transfer of such Note set forth in this Supplemental Indenture and in such legend in Section 2.4(iv) hereof and agrees that it shall transfer such Note only as provided in this Supplemental Indenture.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(vi)            The Corporation and the Trustee reserve the right to require in connection with any offer, sale or other transfer of Notes under clauses (D), (E) and (F) of the legend set forth in Section 2.4(iv)(a) hereof the delivery of an opinion of counsel, certifications and/or other information satisfactory to the Corporation and the Trustee.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Definitive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Any definitive Note delivered in exchange for an interest in a Global Note pursuant to Section 305 of the Indenture shall, except as otherwise provided by Section 2.4(iv) hereof, bear the Restricted Notes Legend (if then required) and the additional legend for Notes in definitive form set forth in Section 2.4(iv)(a) hereof, and shall not bear the Global Notes Legend.</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(ii)            Notwithstanding anything to the contrary in the Indenture, in no event shall a definitive Note be delivered upon exchange or transfer of a beneficial interest in the Regulation S Global Note prior to the end of the Restricted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Amendments to the Base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(i)            Solely as it relates to the Notes, Section 402 of the Indenture shall be amended by (a) adding “and” at the end of subsection (5) thereof; (b) removing subsection (6) thereof; and (c) renumbering subsection (7) thereof as subsection (6).</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(ii)            Solely as it relates to the Notes, Section 902 of the Indenture shall be amended by replacing any references to “663 2/3%” or “66 2/3%” thereof with “a majority”.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Solely as it relates to the Notes, Section 1004 of the Indenture shall be amended by: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deleting the “and” at the end of subsection (a)(6) thereof and adding the below subsections after subsection (a)(6) thereof:</w:t>
      </w:r>
    </w:p>
    <w:p>
      <w:pPr>
        <w:spacing w:after="0" w:line="225" w:lineRule="exact"/>
        <w:rPr>
          <w:sz w:val="20"/>
          <w:szCs w:val="20"/>
          <w:color w:val="auto"/>
        </w:rPr>
      </w:pPr>
    </w:p>
    <w:p>
      <w:pPr>
        <w:jc w:val="both"/>
        <w:ind w:left="1960" w:hanging="659"/>
        <w:spacing w:after="0" w:line="261" w:lineRule="auto"/>
        <w:tabs>
          <w:tab w:leader="none" w:pos="194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mortgages imposed by law, such as mechanics’, workmen’s, repairmen’s, materialmen’s, carriers’, warehousemen’s, vendors’, construction or other similar mortgages arising in the ordinary course of business, or governmental (federal, state or municipal) mortgages arising out of contracts for the sale of products or services by the Company or any Restricted Subsidiary, or deposits or pledges to obtain the release of any of the foregoing;</w:t>
      </w:r>
    </w:p>
    <w:p>
      <w:pPr>
        <w:spacing w:after="0" w:line="180" w:lineRule="exact"/>
        <w:rPr>
          <w:sz w:val="20"/>
          <w:szCs w:val="20"/>
          <w:color w:val="auto"/>
        </w:rPr>
      </w:pPr>
    </w:p>
    <w:p>
      <w:pPr>
        <w:ind w:left="1960" w:hanging="656"/>
        <w:spacing w:after="0" w:line="282"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arising out of receipt of customer deposits or advance payments from customers, or deposits required by suppliers, in each case in the ordinary course of business;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specific items of inventory or other goods and the proceeds thereof securing obligations of the Company or any Restricted Subsidiary in respect of documentary letters of credit or banker’s acceptances issued or created for the account of the Company or Restricted Subsidiary, as applicable, to facilitate the purchase, shipment or storage of such inventory or goods, in each case in the ordinary course of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left="840" w:hanging="656"/>
        <w:spacing w:after="0" w:line="255"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under workmen’s compensation, unemployment insurance, or similar legislation and mortgages of judgments thereunder which are not currently dischargeable, or good faith deposits in connection with bids, tenders, contracts (other than for the payment of money) or leases to which the Company or any Restricted Subsidiary is a party, or deposits to secure public or statutory obligations of the Company or any Restricted Subsidiary, or deposits in connection with obtaining or maintaining self-insurance or to obtain the benefits of any law, regulation or arrangement pertaining to workmen’s compensation, unemployment insurance, old age pensions, social security or similar matters, or deposits in litigation or other proceedings such as, but not limited to, interpleader proceedings;</w:t>
      </w:r>
    </w:p>
    <w:p>
      <w:pPr>
        <w:spacing w:after="0" w:line="188"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of cash or obligations of the United States of America to secure surety, appeal or customs bonds to which the Company or any Restricted Subsidiary is a party or any other mortgages in favor of customs and revenue authorities arising as a matter of law to secure payment of customs duties in connection with the importation and exportation of goods, in each case in the ordinary course of business;</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56"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created by or resulting from any litigation or other proceeding which is being contested in good faith by appropriate proceedings, including mortgages arising out of judgments or awards against the Company or any Restricted Subsidiary with respect to which the Company or such Restricted Subsidiary is in good faith prosecuting an appeal or proceedings for review (or for which the time to make an appeal has not yet expired) or mortgages incurred by the Company or any Restricted Subsidiary for the purpose of obtaining a stay or discharge in the course of any litigation or other proceeding to which the Company or such Restricted Subsidiary is a party;</w:t>
      </w:r>
    </w:p>
    <w:p>
      <w:pPr>
        <w:spacing w:after="0" w:line="187"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for taxes or assessments or governmental charges or levies not yet due or delinquent, or which can thereafter be paid without penalty, or which are being contested in good faith by appropriate proceedings;</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consisting of easements, rights-of-way, permits, servitudes, zoning restrictions, restrictions on the use of real property, and defects and irregularities in the title thereto, landlords’ liens and other similar liens and encumbrances none of which interfere materially with the use of the property covered thereby in the ordinary course of the business of the Company or such Restricted Subsidiary and which do not, in the opinion of the Company, materially detract from the value of such properties;</w:t>
      </w:r>
    </w:p>
    <w:p>
      <w:pPr>
        <w:spacing w:after="0" w:line="183"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on the date on which the Notes are originally issued;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 w:name="page25"/>
    <w:bookmarkEnd w:id="24"/>
    <w:p>
      <w:pPr>
        <w:ind w:left="1960" w:hanging="656"/>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cash and cash equivalents securing derivatives obligations or deposited as cash collateral on letters of credit;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arising solely by virtue of any statutory or common law provision relating to banker’s liens, rights of setoff or similar rights and remedies as to deposit accounts or other funds maintained with a creditor depository institution; provided that</w:t>
      </w:r>
    </w:p>
    <w:p>
      <w:pPr>
        <w:jc w:val="both"/>
        <w:ind w:left="1960" w:hanging="8"/>
        <w:spacing w:after="0" w:line="255" w:lineRule="auto"/>
        <w:tabs>
          <w:tab w:leader="none" w:pos="228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account is not a dedicated cash collateral account and is not subject to restrictions against access by the Company in excess of those required by applicable banking regulations or as otherwise set forth by regulations promulgated by the Federal Reserve Board, and (B) such deposit account is not intended to provide collateral to the depository institution;</w:t>
      </w:r>
    </w:p>
    <w:p>
      <w:pPr>
        <w:spacing w:after="0" w:line="18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of assets (including with respect to real property and intellectual property rights) granted to others that do not in the aggregate materially interfere with the ordinary conduct of the business of the Company and its subsidiaries taken as a whole; and”</w:t>
      </w:r>
    </w:p>
    <w:p>
      <w:pPr>
        <w:spacing w:after="0" w:line="176"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(b)            renumbering subsection (a)(7) to subsection (a)(19) and replacing the reference to “Clauses (1) through (6)” thereof with “Clauses (1) through (18)”; and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(c)            replacing “does not at the time exceed 5% of Consolidated Net Tangible Assets” in subsection (b) with “does not at the time exceed the greater of (i) $2.0 billion and (ii) 15% of Consolidated Net Tangible Assets” and replacing the reference to “Clauses (1) through (7)” thereof with “Clauses (1) through (19).”</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(iv)            Solely as it relates to the Notes, Section 1005 of the Indenture shall be amended by replacing the reference to “(1) or (6) of Section 1004(a)” thereof with “(1) to (19) of Section 1004(a).”</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(v)            Solely as it relates to the Notes, Section 1006 of the Indenture shall be amended by (a) adding “and” at the end of subsection (6) thereof; (b) removing subsection (7) thereof; and (c) renumbering subsection (8) thereof as (7).</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(vi)            Solely as it relates to the Notes, Section 1008 of the Indenture shall be amended by replacing any references to “66 2/3%” thereof with “a majority”.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Relation to the Indenture</w:t>
      </w:r>
      <w:r>
        <w:rPr>
          <w:rFonts w:ascii="Times New Roman" w:cs="Times New Roman" w:eastAsia="Times New Roman" w:hAnsi="Times New Roman"/>
          <w:sz w:val="18"/>
          <w:szCs w:val="18"/>
          <w:color w:val="auto"/>
        </w:rPr>
        <w:t>. This Supplemental Indenture constitutes an integral part of the Indenture, and shall be construed in connection with and as part of the Indenture. If any provision of this Supplemental Indenture conflicts with any provision of the Indenture, the provisions of this Supplemental Indenture shall control.</w:t>
      </w:r>
    </w:p>
    <w:p>
      <w:pPr>
        <w:spacing w:after="0" w:line="176" w:lineRule="exact"/>
        <w:rPr>
          <w:sz w:val="20"/>
          <w:szCs w:val="20"/>
          <w:color w:val="auto"/>
        </w:rPr>
      </w:pPr>
    </w:p>
    <w:p>
      <w:pPr>
        <w:jc w:val="both"/>
        <w:ind w:firstLine="1296"/>
        <w:spacing w:after="0" w:line="289" w:lineRule="auto"/>
        <w:rPr>
          <w:sz w:val="20"/>
          <w:szCs w:val="20"/>
          <w:color w:val="auto"/>
        </w:rPr>
      </w:pPr>
      <w:r>
        <w:rPr>
          <w:rFonts w:ascii="Times New Roman" w:cs="Times New Roman" w:eastAsia="Times New Roman" w:hAnsi="Times New Roman"/>
          <w:sz w:val="17"/>
          <w:szCs w:val="17"/>
          <w:color w:val="auto"/>
        </w:rPr>
        <w:t>(ii)          </w:t>
      </w:r>
      <w:r>
        <w:rPr>
          <w:rFonts w:ascii="Times New Roman" w:cs="Times New Roman" w:eastAsia="Times New Roman" w:hAnsi="Times New Roman"/>
          <w:sz w:val="17"/>
          <w:szCs w:val="17"/>
          <w:u w:val="single" w:color="auto"/>
          <w:color w:val="auto"/>
        </w:rPr>
        <w:t>  Definitions in the Supplemental Indenture</w:t>
      </w:r>
      <w:r>
        <w:rPr>
          <w:rFonts w:ascii="Times New Roman" w:cs="Times New Roman" w:eastAsia="Times New Roman" w:hAnsi="Times New Roman"/>
          <w:sz w:val="17"/>
          <w:szCs w:val="17"/>
          <w:color w:val="auto"/>
        </w:rPr>
        <w:t>. For all purposes of this Supplemental Indenture, capitalized terms used herein without definition shall have the meanings specified in the Indenture. If any term is defined in this Supplemental Indenture and in the Indenture, such term as it relates to the Notes shall have the meaning assigned to it in this Supplemental Indenture. All terms defined in the Notes have the meanings set forth therein.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296"/>
        <w:spacing w:after="0" w:line="289" w:lineRule="auto"/>
        <w:rPr>
          <w:sz w:val="20"/>
          <w:szCs w:val="20"/>
          <w:color w:val="auto"/>
        </w:rPr>
      </w:pPr>
      <w:r>
        <w:rPr>
          <w:rFonts w:ascii="Times New Roman" w:cs="Times New Roman" w:eastAsia="Times New Roman" w:hAnsi="Times New Roman"/>
          <w:sz w:val="17"/>
          <w:szCs w:val="17"/>
          <w:color w:val="auto"/>
        </w:rPr>
        <w:t>(iii)          </w:t>
      </w:r>
      <w:r>
        <w:rPr>
          <w:rFonts w:ascii="Times New Roman" w:cs="Times New Roman" w:eastAsia="Times New Roman" w:hAnsi="Times New Roman"/>
          <w:sz w:val="17"/>
          <w:szCs w:val="17"/>
          <w:u w:val="single" w:color="auto"/>
          <w:color w:val="auto"/>
        </w:rPr>
        <w:t>  Recitals</w:t>
      </w:r>
      <w:r>
        <w:rPr>
          <w:rFonts w:ascii="Times New Roman" w:cs="Times New Roman" w:eastAsia="Times New Roman" w:hAnsi="Times New Roman"/>
          <w:sz w:val="17"/>
          <w:szCs w:val="17"/>
          <w:color w:val="auto"/>
        </w:rPr>
        <w:t>. The recitals and statements herein and in the Notes shall be taken as recitals and statements of the Corporation and shall not be construed as made by the Trustee or any paying agent, and neither the Trustee nor any paying agent assumes any responsibility for their correctness. Neither the Trustee nor any paying agent makes any representations as to the validity or sufficiency of this Supplemental Indenture or of the Notes.</w:t>
      </w:r>
    </w:p>
    <w:p>
      <w:pPr>
        <w:spacing w:after="0" w:line="15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SUPPLEMENTAL INDENTURE AND THE NOTES SHALL BE GOVERNED BY AND CONSTRUED IN ACCORDANCE WITH THE LAWS OF THE STATE OF NEW YORK.</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Separability Clause</w:t>
      </w:r>
      <w:r>
        <w:rPr>
          <w:rFonts w:ascii="Times New Roman" w:cs="Times New Roman" w:eastAsia="Times New Roman" w:hAnsi="Times New Roman"/>
          <w:sz w:val="18"/>
          <w:szCs w:val="18"/>
          <w:color w:val="auto"/>
        </w:rPr>
        <w:t>. In case any one or more of the provisions contained in this Supplemental Indenture or in the Notes should be invalid, illegal, or unenforceable in any respect, the validity, legality and enforceability of the remaining provisions contained herein and therein shall not in any way be affected, impaired, prejudiced or disturbed thereby.</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All covenants and agreements in this Supplemental Indenture by the Corporation shall bind its successors and assigns, whether so expressed or not.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Supplemental Indenture may be simultaneously executed in several counterparts, and all such counterparts executed and delivered, each as an original, shall constitute but one and the same instrument. The exchange of copies of this Supplemental Indenture and of signature pages that are executed by manual signatures that are scanned, photocopied or faxed or by other electronic signing created on an electronic platform (such as DocuSign) or by digital signing (such as Adobe Sign), in each case that is approved by the Trustee, shall constitute effective execution and delivery of this Supplemental Indenture for all purposes. Signatures of the parties hereto that are executed by manual signatures that are scanned, photocopied or faxed or by other electronic signing created on an electronic platform (such as DocuSign) or by digital signing (such as Adobe Sign), in each case that is approved by the Trustee, shall be deemed to be their original signatures for all purposes of this Supplemental Indenture as to the parties hereto and may be used in lieu of the original.</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Article and Section headings herein are for convenience of reference only and shall not affect the construction of any of the provisions hereof.</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(ix)          </w:t>
      </w:r>
      <w:r>
        <w:rPr>
          <w:rFonts w:ascii="Times New Roman" w:cs="Times New Roman" w:eastAsia="Times New Roman" w:hAnsi="Times New Roman"/>
          <w:sz w:val="18"/>
          <w:szCs w:val="18"/>
          <w:u w:val="single" w:color="auto"/>
          <w:color w:val="auto"/>
        </w:rPr>
        <w:t>  Benefits of Twelfth Supplemental Indenture</w:t>
      </w:r>
      <w:r>
        <w:rPr>
          <w:rFonts w:ascii="Times New Roman" w:cs="Times New Roman" w:eastAsia="Times New Roman" w:hAnsi="Times New Roman"/>
          <w:sz w:val="18"/>
          <w:szCs w:val="18"/>
          <w:color w:val="auto"/>
        </w:rPr>
        <w:t>. Nothing in this Supplemental Indenture or in the Notes, expressed or implied, shall give to any Person, other than the parties hereto, the Paying Agent and their respective successors and the Holders, any benefit or any legal or equitable right, remedy or claim under this Supplemental Indenture. Nothing in this Supplemental Indenture shall apply to or amend or supplement any other series of Securities issued or issuable under the Indenture.</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Trust Indenture Act</w:t>
      </w:r>
      <w:r>
        <w:rPr>
          <w:rFonts w:ascii="Times New Roman" w:cs="Times New Roman" w:eastAsia="Times New Roman" w:hAnsi="Times New Roman"/>
          <w:sz w:val="18"/>
          <w:szCs w:val="18"/>
          <w:color w:val="auto"/>
        </w:rPr>
        <w:t>. If any provision in this Supplemental Indenture limits, qualifies or conflicts with a provision of the Trust Indenture Act which is required to be included herein by any provision of the Trust Indenture Act, such required provision shall prevail.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we have hereunto signed our names as of the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November 2026.</w:t>
      </w:r>
    </w:p>
    <w:p>
      <w:pPr>
        <w:spacing w:after="0" w:line="13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Flavio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Flavio Costa</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Suzana Blades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Suzana Blades</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General Counsel</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Christina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Christina Bruno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40"/>
          </w:cols>
          <w:pgMar w:left="980" w:top="908" w:right="127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EXHIBIT A1</w:t>
      </w:r>
    </w:p>
    <w:p>
      <w:pPr>
        <w:sectPr>
          <w:pgSz w:w="11900" w:h="16838" w:orient="portrait"/>
          <w:cols w:equalWidth="0" w:num="1">
            <w:col w:w="9019"/>
          </w:cols>
          <w:pgMar w:left="1440" w:top="90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28" w:name="page29"/>
    <w:bookmarkEnd w:id="2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DEPOSITORY OR A NOMINEE OF A DEPOSITORY, WHICH MAY BE TREATED BY THE COMPANY, THE TRUSTEE AND ANY AGENT THEREOF AS OWNER AND HOLDER OF THIS SECURITY FOR ALL PURPOSES. THIS GLOBAL SECURITY IS EXCHANGEABLE FOR SECURITIES REGISTERED IN THE NAME OF A PERSON OTHER THAN THE DEPOSITORY OR ITS NOMINEE ONLY IN THE LIMITED CIRCUMSTANCES HEREINAFTER DESCRIBED AND MAY NOT BE TRANSFERRED EXCEPT AS A WHOLE BY THE DEPOSITORY TO A NOMINEE OF THE DEPOSITORY OR BY A NOMINEE OF THE DEPOSITORY TO THE DEPOSITORY.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THIS SECURITY HAS NOT BEEN REGISTERED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w:t>
      </w:r>
      <w:r>
        <w:rPr>
          <w:rFonts w:ascii="Times New Roman" w:cs="Times New Roman" w:eastAsia="Times New Roman" w:hAnsi="Times New Roman"/>
          <w:sz w:val="17"/>
          <w:szCs w:val="17"/>
          <w:u w:val="single" w:color="auto"/>
          <w:color w:val="auto"/>
        </w:rPr>
        <w:t>RESALE RESTRICTION TERMINATION DATE</w:t>
      </w:r>
      <w:r>
        <w:rPr>
          <w:rFonts w:ascii="Times New Roman" w:cs="Times New Roman" w:eastAsia="Times New Roman" w:hAnsi="Times New Roman"/>
          <w:sz w:val="17"/>
          <w:szCs w:val="17"/>
          <w:color w:val="auto"/>
        </w:rPr>
        <w:t>”) THAT IS [IN THE CASE OF RULE 144A GLOBAL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 (B) PURSUANT TO A REGISTRATION STATEMENT THAT HAS BEEN DECLARED EFFECTIVE UNDER THE SECURITIES ACT, (C) FOR SO LONG AS THE SECURITIES ARE ELIGIBLE FOR RESALE PURSUANT TO RULE 144A UNDER THE SECURITIES ACT (“</w:t>
      </w:r>
      <w:r>
        <w:rPr>
          <w:rFonts w:ascii="Times New Roman" w:cs="Times New Roman" w:eastAsia="Times New Roman" w:hAnsi="Times New Roman"/>
          <w:sz w:val="17"/>
          <w:szCs w:val="17"/>
          <w:u w:val="single" w:color="auto"/>
          <w:color w:val="auto"/>
        </w:rPr>
        <w:t>RULE 144A</w:t>
      </w:r>
      <w:r>
        <w:rPr>
          <w:rFonts w:ascii="Times New Roman" w:cs="Times New Roman" w:eastAsia="Times New Roman" w:hAnsi="Times New Roman"/>
          <w:sz w:val="17"/>
          <w:szCs w:val="17"/>
          <w:color w:val="auto"/>
        </w:rPr>
        <w:t>”),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w:t>
      </w:r>
    </w:p>
    <w:p>
      <w:pPr>
        <w:spacing w:after="0" w:line="198" w:lineRule="exact"/>
        <w:rPr>
          <w:sz w:val="20"/>
          <w:szCs w:val="20"/>
          <w:color w:val="auto"/>
        </w:rPr>
      </w:pPr>
    </w:p>
    <w:p>
      <w:pPr>
        <w:jc w:val="both"/>
        <w:ind w:firstLine="8"/>
        <w:spacing w:after="0" w:line="250" w:lineRule="auto"/>
        <w:tabs>
          <w:tab w:leader="none" w:pos="3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 (I) AN “EMPLOYEE BENEFIT PLAN” (AS DEFINED IN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THAT IS SUBJECT TO TITLE I OF ERISA, (II) A PLAN DESCRIBED IN SECTION 4975(E)(1)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w:t>
      </w:r>
      <w:r>
        <w:rPr>
          <w:rFonts w:ascii="Times New Roman" w:cs="Times New Roman" w:eastAsia="Times New Roman" w:hAnsi="Times New Roman"/>
          <w:sz w:val="18"/>
          <w:szCs w:val="18"/>
          <w:u w:val="single" w:color="auto"/>
          <w:color w:val="auto"/>
        </w:rPr>
        <w:t>SIMILAR LAWS</w:t>
      </w:r>
      <w:r>
        <w:rPr>
          <w:rFonts w:ascii="Times New Roman" w:cs="Times New Roman" w:eastAsia="Times New Roman" w:hAnsi="Times New Roman"/>
          <w:sz w:val="18"/>
          <w:szCs w:val="18"/>
          <w:color w:val="auto"/>
        </w:rPr>
        <w:t>”)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19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7830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0" w:lineRule="exact"/>
        <w:rPr>
          <w:sz w:val="20"/>
          <w:szCs w:val="20"/>
          <w:color w:val="auto"/>
        </w:rPr>
      </w:pPr>
    </w:p>
    <w:p>
      <w:pPr>
        <w:ind w:left="440" w:hanging="432"/>
        <w:spacing w:after="0"/>
        <w:tabs>
          <w:tab w:leader="none" w:pos="4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Applies to Regulation S Notes only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No. [A-[</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 S-[</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CUSIP No. [494368 CL5 (144A) / U49436 AL9 (Reg S)] PRINCIPAL AMOUNT: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ISIN No. [US494368CL53 (144A) / USU49436AL90 (Reg S)]</w:t>
      </w:r>
    </w:p>
    <w:p>
      <w:pPr>
        <w:spacing w:after="0" w:line="200" w:lineRule="exact"/>
        <w:rPr>
          <w:sz w:val="20"/>
          <w:szCs w:val="20"/>
          <w:color w:val="auto"/>
        </w:rPr>
      </w:pPr>
    </w:p>
    <w:p>
      <w:pPr>
        <w:spacing w:after="0" w:line="22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5.050% NOTES DUE MARCH 22, 2028</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Kimberly-Clark Corporation, a corporation duly incorporated and existing under the laws of the State of Delaware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hereinafter referred to), for value received, hereby promises to pay to CEDE &amp; CO., or registered assigns, the principal sum of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on March 22, 2028, and to pay interest thereon from September 22, 2026, or from the most recent Interest Payment Date to which interest has been paid or duly provided for semi-annually on March 22 and September 22 of each year, commencing March 22, 2027, at the rate of 5.050%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March 7 and September 7 (whether or not a Business Day), as the case may be, next preceding such Interest Payment Date. All references in this Security to any interest or other amount payable on or with respect to this Security will be deemed to include Additional Interest pursuant to the Registration Rights Agreement, if any. Any amounts of Additional Interest due will be payable in cash on the same original Interest Payment Dates as interest on this Security is payable.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interest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pdf or other electronically imaged (including, without limitation, DocuSign or AdobeSign)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5.050% NOTES DUE MARCH 22, 2028</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 First Amended and Restated Indenture, dated as of March 1, 1988, as amended or supplemented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The Bank of New York Mellon Trust Company, N.A., as successor trustee and U.S. Bank Trust Company, National Association, as successor trustee in respect of the Future Notes (as defined in the Eighth Supplemental Indenture dated as of October 27, 2021)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$739,347,000.</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Prior to February 22, 2028 (one month prior to the maturity date of the Securities) (the </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the Company may redeem the Securities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15 basis points less (b) interest accrued to, but excluding, the Redemption Date, and (2) 100% of the principal amount of the Securities to be redeemed, plus, in either case, accrued and unpaid interest thereon to, but excluding, the Redemption Date. On or after the Par Call Date, the Company may redeem the Securities, in whole or in part, at any time and from time to time, at a Redemption Price equal to 100% of the principal amount of the Securities being redeemed plus accrued and unpaid interest thereon to, but excluding, the Redemption Date.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will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will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Notice of any redemption will be mailed or electronically delivered (or otherwise transmitted in accordance with the Depository’s procedures) at least 10 days but not more than 60 days before the Redemption Date to each Holder of Securities to be redeemed. Notice of any redemption of the Securities may, at the Company’s discretion, be given subject to one or more conditions precedent, including, but not limited to, completion of a corporate transaction. If such redemption is so subject to satisfaction of one or more conditions precedent, such notice shall describe each such condition, and, if applicable, will state that at the Company’s discretion, the Redemption Date may be delayed (including more than 60 days after the notice of redemption was given) until such time as any or all such conditions precedent will be satisfied (or waived by the Company in the Company’s sole discretion), or such notice may be rescinded in the event that any or all such conditions shall not have been satisfied or otherwise waived by the Redemption Date, or by the Redemption Date as so delayed. If any such redemption has been rescinded or delayed, the Company will provide written notice to the Trustee prior to the close of business two business days before the Redemption Date and, upon receipt, the Trustee will provide such notice to each Holder of the Securities. Once notice of redemption is mailed or sent, subject to the satisfaction or waiver (in the Company’s sole discretion) of any conditions precedent provided in the notice of redemption, the Securities called for redemption will become due and payable on the Redemption Date and at the applicable Redemption Price, plus accrued and unpaid interest to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(or another depositary), the redemption of the Securities, including the allocation of the Redemption Price among beneficial owners of the Securities, shall be done in accordance with the policies and procedures of the depositary.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will not be entitled to any sinking fund.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a majority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this Security and (b) certain restrictive covenants and certain Events of Default, upon compliance by the Company with certain conditions set forth therein, which provisions apply to this Security.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Security at the office or agency of the Trustee maintained for that purpose in St. Paul, Minnesota, a new Security or Securities of this series in authorized denominations for an equal aggregate principal amount will be issued to the transferee in exchange herefor, as provided in the Indenture and subject to the limitations provided therein and to the limitations described below, without charge except for any tax or other governmental charge imposed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exchangeable for definitive Securities in registered form only if (x) the Depository notifies the Company that it is unwilling or unable to continue as Depository for this Security or if at any time the Depository ceases to be a clearing agency registered under the Securities Exchange Act of 1934, as amended, or (y) the Company in its sole discretion determines that this Security shall be exchangeable for definitive Securities in registered form and notifies the Trustee thereof. If this Security is exchangeable pursuant to the preceding sentence, it shall be exchangeable for definitive Securities in registered form in denominations of $2,000 and any integral multiple of $1,000 in excess thereof, registered in such names as such Depository shall direct, bearing interest at the same rate, having the same date of issuance, redemption provisions, Stated Maturity and other terms and of differing denominations aggregating a like amount.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may not be transferred except as a whole by the Depository to a nominee of the Depository, or by a nominee of the Depository to the Depository or another nominee of the Depository, or by the Depository or any such nominee to a successor of the Depository or a nominee of such successor. Except as provided above, owners of beneficial interests in this global Security will not be entitled to receive physical delivery of Securities in definitive form and will not be considered the Holders hereof for any purpose under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except that in the event the Company deposits money or Government Obligations as provided in Sections 402 or 1006 of the Indenture, such payments will be made only from proceeds of such money or Government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the interest on this Security, or for any claim based hereon, or otherwise in respect hereof, or based on or in respect of the Indenture or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Anything in the Indenture or the Security of this series to the contrary notwithstanding, for the purposes of the transactions contemplated by the Indenture relating to the Security of this series, the Security of this series and any document to be signed in connection with the Indenture or such Security (including the Securities of this series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in this Security which are defined in the Indenture shall have the meanings assigned to them in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EXHIBIT A2</w:t>
      </w:r>
    </w:p>
    <w:p>
      <w:pPr>
        <w:sectPr>
          <w:pgSz w:w="11900" w:h="16838" w:orient="portrait"/>
          <w:cols w:equalWidth="0" w:num="1">
            <w:col w:w="9019"/>
          </w:cols>
          <w:pgMar w:left="1440" w:top="90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38" w:name="page39"/>
    <w:bookmarkEnd w:id="3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DEPOSITORY OR A NOMINEE OF A DEPOSITORY, WHICH MAY BE TREATED BY THE COMPANY, THE TRUSTEE AND ANY AGENT THEREOF AS OWNER AND HOLDER OF THIS SECURITY FOR ALL PURPOSES. THIS GLOBAL SECURITY IS EXCHANGEABLE FOR SECURITIES REGISTERED IN THE NAME OF A PERSON OTHER THAN THE DEPOSITORY OR ITS NOMINEE ONLY IN THE LIMITED CIRCUMSTANCES HEREINAFTER DESCRIBED AND MAY NOT BE TRANSFERRED EXCEPT AS A WHOLE BY THE DEPOSITORY TO A NOMINEE OF THE DEPOSITORY OR BY A NOMINEE OF THE DEPOSITORY TO THE DEPOSITORY.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THIS SECURITY HAS NOT BEEN REGISTERED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w:t>
      </w:r>
      <w:r>
        <w:rPr>
          <w:rFonts w:ascii="Times New Roman" w:cs="Times New Roman" w:eastAsia="Times New Roman" w:hAnsi="Times New Roman"/>
          <w:sz w:val="17"/>
          <w:szCs w:val="17"/>
          <w:u w:val="single" w:color="auto"/>
          <w:color w:val="auto"/>
        </w:rPr>
        <w:t>RESALE RESTRICTION TERMINATION DATE</w:t>
      </w:r>
      <w:r>
        <w:rPr>
          <w:rFonts w:ascii="Times New Roman" w:cs="Times New Roman" w:eastAsia="Times New Roman" w:hAnsi="Times New Roman"/>
          <w:sz w:val="17"/>
          <w:szCs w:val="17"/>
          <w:color w:val="auto"/>
        </w:rPr>
        <w:t>”) THAT IS [IN THE CASE OF RULE 144A GLOBAL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 (B) PURSUANT TO A REGISTRATION STATEMENT THAT HAS BEEN DECLARED EFFECTIVE UNDER THE SECURITIES ACT, (C) FOR SO LONG AS THE SECURITIES ARE ELIGIBLE FOR RESALE PURSUANT TO RULE 144A UNDER THE SECURITIES ACT (“</w:t>
      </w:r>
      <w:r>
        <w:rPr>
          <w:rFonts w:ascii="Times New Roman" w:cs="Times New Roman" w:eastAsia="Times New Roman" w:hAnsi="Times New Roman"/>
          <w:sz w:val="17"/>
          <w:szCs w:val="17"/>
          <w:u w:val="single" w:color="auto"/>
          <w:color w:val="auto"/>
        </w:rPr>
        <w:t>RULE 144A</w:t>
      </w:r>
      <w:r>
        <w:rPr>
          <w:rFonts w:ascii="Times New Roman" w:cs="Times New Roman" w:eastAsia="Times New Roman" w:hAnsi="Times New Roman"/>
          <w:sz w:val="17"/>
          <w:szCs w:val="17"/>
          <w:color w:val="auto"/>
        </w:rPr>
        <w:t>”),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w:t>
      </w:r>
    </w:p>
    <w:p>
      <w:pPr>
        <w:spacing w:after="0" w:line="198" w:lineRule="exact"/>
        <w:rPr>
          <w:sz w:val="20"/>
          <w:szCs w:val="20"/>
          <w:color w:val="auto"/>
        </w:rPr>
      </w:pPr>
    </w:p>
    <w:p>
      <w:pPr>
        <w:jc w:val="both"/>
        <w:ind w:firstLine="8"/>
        <w:spacing w:after="0" w:line="250" w:lineRule="auto"/>
        <w:tabs>
          <w:tab w:leader="none" w:pos="3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 (I) AN “EMPLOYEE BENEFIT PLAN” (AS DEFINED IN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THAT IS SUBJECT TO TITLE I OF ERISA, (II) A PLAN DESCRIBED IN SECTION 4975(E)(1)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w:t>
      </w:r>
      <w:r>
        <w:rPr>
          <w:rFonts w:ascii="Times New Roman" w:cs="Times New Roman" w:eastAsia="Times New Roman" w:hAnsi="Times New Roman"/>
          <w:sz w:val="18"/>
          <w:szCs w:val="18"/>
          <w:u w:val="single" w:color="auto"/>
          <w:color w:val="auto"/>
        </w:rPr>
        <w:t>SIMILAR LAWS</w:t>
      </w:r>
      <w:r>
        <w:rPr>
          <w:rFonts w:ascii="Times New Roman" w:cs="Times New Roman" w:eastAsia="Times New Roman" w:hAnsi="Times New Roman"/>
          <w:sz w:val="18"/>
          <w:szCs w:val="18"/>
          <w:color w:val="auto"/>
        </w:rPr>
        <w:t>”)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19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783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0" w:lineRule="exact"/>
        <w:rPr>
          <w:sz w:val="20"/>
          <w:szCs w:val="20"/>
          <w:color w:val="auto"/>
        </w:rPr>
      </w:pPr>
    </w:p>
    <w:p>
      <w:pPr>
        <w:ind w:left="440" w:hanging="432"/>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Applies to Regulation S Notes only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No. [A-[</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 S-[</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CUSIP No. [494368 CM3 (144A) / U49436 AM7 (Reg S)] PRINCIPAL AMOUNT: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ISIN No. [US494368CM37 (144A) / USU49436AM73 (Reg S)]</w:t>
      </w:r>
    </w:p>
    <w:p>
      <w:pPr>
        <w:spacing w:after="0" w:line="200" w:lineRule="exact"/>
        <w:rPr>
          <w:sz w:val="20"/>
          <w:szCs w:val="20"/>
          <w:color w:val="auto"/>
        </w:rPr>
      </w:pPr>
    </w:p>
    <w:p>
      <w:pPr>
        <w:spacing w:after="0" w:line="22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5.000% NOTES DUE MARCH 22, 2030</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Kimberly-Clark Corporation, a corporation duly incorporated and existing under the laws of the State of Delaware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hereinafter referred to), for value received, hereby promises to pay to CEDE &amp; CO., or registered assigns, the principal sum of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on March 22, 2030, and to pay interest thereon from September 22, 2026, or from the most recent Interest Payment Date to which interest has been paid or duly provided for semi-annually on March 22 and September 22 of each year, commencing March 22, 2027, at the rate of 5.000%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March 7 and September 7 (whether or not a Business Day), as the case may be, next preceding such Interest Payment Date. All references in this Security to any interest or other amount payable on or with respect to this Security will be deemed to include Additional Interest pursuant to the Registration Rights Agreement, if any. Any amounts of Additional Interest due will be payable in cash on the same original Interest Payment Dates as interest on this Security is payable.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interest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pdf or other electronically imaged (including, without limitation, DocuSign or AdobeSign)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5.000% NOTES DUE MARCH 22, 2030</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 First Amended and Restated Indenture, dated as of March 1, 1988, as amended or supplemented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The Bank of New York Mellon Trust Company, N.A., as successor trustee and U.S. Bank Trust Company, National Association, as successor trustee in respect of the Future Notes (as defined in the Eighth Supplemental Indenture dated as of October 27, 2021)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$846,989,000.</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Prior to January 22, 2030 (two months prior to the maturity date of the Securities) (the “</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the Company may redeem the Securities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15 basis points less (b) interest accrued to, but excluding, the Redemption Date, and (2) 100% of the principal amount of the Securities to be redeemed, plus, in either case, accrued and unpaid interest thereon to, but excluding, the Redemption Date. On or after the Par Call Date, the Company may redeem the Securities, in whole or in part, at any time and from time to time, at a Redemption Price equal to 100% of the principal amount of the Securities being redeemed plus accrued and unpaid interest thereon to, but excluding, the Redemption Date.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will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will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Notice of any redemption will be mailed or electronically delivered (or otherwise transmitted in accordance with the Depository’s procedures) at least 10 days but not more than 60 days before the Redemption Date to each Holder of Securities to be redeemed. Notice of any redemption of the Securities may, at the Company’s discretion, be given subject to one or more conditions precedent, including, but not limited to, completion of a corporate transaction. If such redemption is so subject to satisfaction of one or more conditions precedent, such notice shall describe each such condition, and, if applicable, will state that at the Company’s discretion, the Redemption Date may be delayed (including more than 60 days after the notice of redemption was given) until such time as any or all such conditions precedent will be satisfied (or waived by the Company in the Company’s sole discretion), or such notice may be rescinded in the event that any or all such conditions shall not have been satisfied or otherwise waived by the Redemption Date, or by the Redemption Date as so delayed. If any such redemption has been rescinded or delayed, the Company will provide written notice to the Trustee prior to the close of business two business days before the Redemption Date and, upon receipt, the Trustee will provide such notice to each Holder of the Securities. Once notice of redemption is mailed or sent, subject to the satisfaction or waiver (in the Company’s sole discretion) of any conditions precedent provided in the notice of redemption, the Securities called for redemption will become due and payable on the Redemption Date and at the applicable Redemption Price, plus accrued and unpaid interest to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(or another depositary), the redemption of the Securities, including the allocation of the Redemption Price among beneficial owners of the Securities, shall be done in accordance with the policies and procedures of the depositary.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will not be entitled to any sinking fund.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a majority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this Security and (b) certain restrictive covenants and certain Events of Default, upon compliance by the Company with certain conditions set forth therein, which provisions apply to this Security.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Security at the office or agency of the Trustee maintained for that purpose in St. Paul, Minnesota, a new Security or Securities of this series in authorized denominations for an equal aggregate principal amount will be issued to the transferee in exchange herefor, as provided in the Indenture and subject to the limitations provided therein and to the limitations described below, without charge except for any tax or other governmental charge imposed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exchangeable for definitive Securities in registered form only if (x) the Depository notifies the Company that it is unwilling or unable to continue as Depository for this Security or if at any time the Depository ceases to be a clearing agency registered under the Securities Exchange Act of 1934, as amended, or (y) the Company in its sole discretion determines that this Security shall be exchangeable for definitive Securities in registered form and notifies the Trustee thereof. If this Security is exchangeable pursuant to the preceding sentence, it shall be exchangeable for definitive Securities in registered form in denominations of $2,000 and any integral multiple of $1,000 in excess thereof, registered in such names as such Depository shall direct, bearing interest at the same rate, having the same date of issuance, redemption provisions, Stated Maturity and other terms and of differing denominations aggregating a like amount.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may not be transferred except as a whole by the Depository to a nominee of the Depository, or by a nominee of the Depository to the Depository or another nominee of the Depository, or by the Depository or any such nominee to a successor of the Depository or a nominee of such successor. Except as provided above, owners of beneficial interests in this global Security will not be entitled to receive physical delivery of Securities in definitive form and will not be considered the Holders hereof for any purpose under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except that in the event the Company deposits money or Government Obligations as provided in Sections 402 or 1006 of the Indenture, such payments will be made only from proceeds of such money or Government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the interest on this Security, or for any claim based hereon, or otherwise in respect hereof, or based on or in respect of the Indenture or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Anything in the Indenture or the Security of this series to the contrary notwithstanding, for the purposes of the transactions contemplated by the Indenture relating to the Security of this series, the Security of this series and any document to be signed in connection with the Indenture or such Security (including the Securities of this series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in this Security which are defined in the Indenture shall have the meanings assigned to them in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EXHIBIT A3</w:t>
      </w:r>
    </w:p>
    <w:p>
      <w:pPr>
        <w:sectPr>
          <w:pgSz w:w="11900" w:h="16838" w:orient="portrait"/>
          <w:cols w:equalWidth="0" w:num="1">
            <w:col w:w="9019"/>
          </w:cols>
          <w:pgMar w:left="1440" w:top="90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48" w:name="page49"/>
    <w:bookmarkEnd w:id="4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DEPOSITORY OR A NOMINEE OF A DEPOSITORY, WHICH MAY BE TREATED BY THE COMPANY, THE TRUSTEE AND ANY AGENT THEREOF AS OWNER AND HOLDER OF THIS SECURITY FOR ALL PURPOSES. THIS GLOBAL SECURITY IS EXCHANGEABLE FOR SECURITIES REGISTERED IN THE NAME OF A PERSON OTHER THAN THE DEPOSITORY OR ITS NOMINEE ONLY IN THE LIMITED CIRCUMSTANCES HEREINAFTER DESCRIBED AND MAY NOT BE TRANSFERRED EXCEPT AS A WHOLE BY THE DEPOSITORY TO A NOMINEE OF THE DEPOSITORY OR BY A NOMINEE OF THE DEPOSITORY TO THE DEPOSITORY.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THIS SECURITY HAS NOT BEEN REGISTERED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w:t>
      </w:r>
      <w:r>
        <w:rPr>
          <w:rFonts w:ascii="Times New Roman" w:cs="Times New Roman" w:eastAsia="Times New Roman" w:hAnsi="Times New Roman"/>
          <w:sz w:val="17"/>
          <w:szCs w:val="17"/>
          <w:u w:val="single" w:color="auto"/>
          <w:color w:val="auto"/>
        </w:rPr>
        <w:t>RESALE RESTRICTION TERMINATION DATE</w:t>
      </w:r>
      <w:r>
        <w:rPr>
          <w:rFonts w:ascii="Times New Roman" w:cs="Times New Roman" w:eastAsia="Times New Roman" w:hAnsi="Times New Roman"/>
          <w:sz w:val="17"/>
          <w:szCs w:val="17"/>
          <w:color w:val="auto"/>
        </w:rPr>
        <w:t>”) THAT IS [IN THE CASE OF RULE 144A GLOBAL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 (B) PURSUANT TO A REGISTRATION STATEMENT THAT HAS BEEN DECLARED EFFECTIVE UNDER THE SECURITIES ACT, (C) FOR SO LONG AS THE SECURITIES ARE ELIGIBLE FOR RESALE PURSUANT TO RULE 144A UNDER THE SECURITIES ACT (“</w:t>
      </w:r>
      <w:r>
        <w:rPr>
          <w:rFonts w:ascii="Times New Roman" w:cs="Times New Roman" w:eastAsia="Times New Roman" w:hAnsi="Times New Roman"/>
          <w:sz w:val="17"/>
          <w:szCs w:val="17"/>
          <w:u w:val="single" w:color="auto"/>
          <w:color w:val="auto"/>
        </w:rPr>
        <w:t>RULE 144A</w:t>
      </w:r>
      <w:r>
        <w:rPr>
          <w:rFonts w:ascii="Times New Roman" w:cs="Times New Roman" w:eastAsia="Times New Roman" w:hAnsi="Times New Roman"/>
          <w:sz w:val="17"/>
          <w:szCs w:val="17"/>
          <w:color w:val="auto"/>
        </w:rPr>
        <w:t>”),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w:t>
      </w:r>
    </w:p>
    <w:p>
      <w:pPr>
        <w:spacing w:after="0" w:line="198" w:lineRule="exact"/>
        <w:rPr>
          <w:sz w:val="20"/>
          <w:szCs w:val="20"/>
          <w:color w:val="auto"/>
        </w:rPr>
      </w:pPr>
    </w:p>
    <w:p>
      <w:pPr>
        <w:jc w:val="both"/>
        <w:ind w:firstLine="8"/>
        <w:spacing w:after="0" w:line="250" w:lineRule="auto"/>
        <w:tabs>
          <w:tab w:leader="none" w:pos="3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 (I) AN “EMPLOYEE BENEFIT PLAN” (AS DEFINED IN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THAT IS SUBJECT TO TITLE I OF ERISA, (II) A PLAN DESCRIBED IN SECTION 4975(E)(1)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w:t>
      </w:r>
      <w:r>
        <w:rPr>
          <w:rFonts w:ascii="Times New Roman" w:cs="Times New Roman" w:eastAsia="Times New Roman" w:hAnsi="Times New Roman"/>
          <w:sz w:val="18"/>
          <w:szCs w:val="18"/>
          <w:u w:val="single" w:color="auto"/>
          <w:color w:val="auto"/>
        </w:rPr>
        <w:t>SIMILAR LAWS</w:t>
      </w:r>
      <w:r>
        <w:rPr>
          <w:rFonts w:ascii="Times New Roman" w:cs="Times New Roman" w:eastAsia="Times New Roman" w:hAnsi="Times New Roman"/>
          <w:sz w:val="18"/>
          <w:szCs w:val="18"/>
          <w:color w:val="auto"/>
        </w:rPr>
        <w:t>”)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19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783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0" w:lineRule="exact"/>
        <w:rPr>
          <w:sz w:val="20"/>
          <w:szCs w:val="20"/>
          <w:color w:val="auto"/>
        </w:rPr>
      </w:pPr>
    </w:p>
    <w:p>
      <w:pPr>
        <w:ind w:left="440" w:hanging="432"/>
        <w:spacing w:after="0"/>
        <w:tabs>
          <w:tab w:leader="none" w:pos="4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Applies to Regulation S Notes only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No. [A-[</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 S-[</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CUSIP No. [494368 CN1 (144A) / U49436 AN5 (Reg S)] PRINCIPAL AMOUNT: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ISIN No. [US494368CN10 (144A) / USU49436AN56 (Reg 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4.850% NOTES DUE MAY 22, 2032</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Kimberly-Clark Corporation, a corporation duly incorporated and existing under the laws of the State of Delaware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hereinafter referred to), for value received, hereby promises to pay to CEDE &amp; CO., or registered assigns, the principal sum of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on May 22, 2032, and to pay interest thereon from May 22, 2026, or from the most recent Interest Payment Date to which interest has been paid or duly provided for semi-annually on May 22 and November 22 of each year, commencing November 22, 2026, at the rate of 4.850%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May 7 and November 7 (whether or not a Business Day), as the case may be, next preceding such Interest Payment Date. All references in this Security to any interest or other amount payable on or with respect to this Security will be deemed to include Additional Interest pursuant to the Registration Rights Agreement, if any. Any amounts of Additional Interest due will be payable in cash on the same original Interest Payment Dates as interest on this Security is payable.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interest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pdf or other electronically imaged (including, without limitation, DocuSign or AdobeSign)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17145</wp:posOffset>
            </wp:positionV>
            <wp:extent cx="34029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4.850% NOTES DUE MAY 22, 2032</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 First Amended and Restated Indenture, dated as of March 1, 1988, as amended or supplemented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The Bank of New York Mellon Trust Company, N.A., as successor trustee and U.S. Bank Trust Company, National Association, as successor trustee in respect of the Future Notes (as defined in the Eighth Supplemental Indenture dated as of October 27, 2021)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$702,706,000.</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Prior to March 22, 2032 (two months prior to the maturity date of the Securities) (the </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the Company may redeem the Securities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10 basis points less (b) interest accrued to, but excluding, the Redemption Date, and (2) 100% of the principal amount of the Securities to be redeemed, plus, in either case, accrued and unpaid interest thereon to, but excluding, the Redemption Date. On or after the Par Call Date, the Company may redeem the Securities, in whole or in part, at any time and from time to time, at a Redemption Price equal to 100% of the principal amount of the Securities being redeemed plus accrued and unpaid interest thereon to, but excluding, the Redemption Date.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will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will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Notice of any redemption will be mailed or electronically delivered (or otherwise transmitted in accordance with the Depository’s procedures) at least 10 days but not more than 60 days before the Redemption Date to each Holder of Securities to be redeemed. Notice of any redemption of the Securities may, at the Company’s discretion, be given subject to one or more conditions precedent, including, but not limited to, completion of a corporate transaction. If such redemption is so subject to satisfaction of one or more conditions precedent, such notice shall describe each such condition, and, if applicable, will state that at the Company’s discretion, the Redemption Date may be delayed (including more than 60 days after the notice of redemption was given) until such time as any or all such conditions precedent will be satisfied (or waived by the Company in the Company’s sole discretion), or such notice may be rescinded in the event that any or all such conditions shall not have been satisfied or otherwise waived by the Redemption Date, or by the Redemption Date as so delayed. If any such redemption has been rescinded or delayed, the Company will provide written notice to the Trustee prior to the close of business two business days before the Redemption Date and, upon receipt, the Trustee will provide such notice to each Holder of the Securities. Once notice of redemption is mailed or sent, subject to the satisfaction or waiver (in the Company’s sole discretion) of any conditions precedent provided in the notice of redemption, the Securities called for redemption will become due and payable on the Redemption Date and at the applicable Redemption Price, plus accrued and unpaid interest to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(or another depositary), the redemption of the Securities, including the allocation of the Redemption Price among beneficial owners of the Securities, shall be done in accordance with the policies and procedures of the depositary.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will not be entitled to any sinking fund.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a majority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this Security and (b) certain restrictive covenants and certain Events of Default, upon compliance by the Company with certain conditions set forth therein, which provisions apply to this Security.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Security at the office or agency of the Trustee maintained for that purpose in St. Paul, Minnesota, a new Security or Securities of this series in authorized denominations for an equal aggregate principal amount will be issued to the transferee in exchange herefor, as provided in the Indenture and subject to the limitations provided therein and to the limitations described below, without charge except for any tax or other governmental charge imposed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exchangeable for definitive Securities in registered form only if (x) the Depository notifies the Company that it is unwilling or unable to continue as Depository for this Security or if at any time the Depository ceases to be a clearing agency registered under the Securities Exchange Act of 1934, as amended, or (y) the Company in its sole discretion determines that this Security shall be exchangeable for definitive Securities in registered form and notifies the Trustee thereof. If this Security is exchangeable pursuant to the preceding sentence, it shall be exchangeable for definitive Securities in registered form in denominations of $2,000 and any integral multiple of $1,000 in excess thereof, registered in such names as such Depository shall direct, bearing interest at the same rate, having the same date of issuance, redemption provisions, Stated Maturity and other terms and of differing denominations aggregating a like amount.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may not be transferred except as a whole by the Depository to a nominee of the Depository, or by a nominee of the Depository to the Depository or another nominee of the Depository, or by the Depository or any such nominee to a successor of the Depository or a nominee of such successor. Except as provided above, owners of beneficial interests in this global Security will not be entitled to receive physical delivery of Securities in definitive form and will not be considered the Holders hereof for any purpose under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except that in the event the Company deposits money or Government Obligations as provided in Sections 402 or 1006 of the Indenture, such payments will be made only from proceeds of such money or Government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the interest on this Security, or for any claim based hereon, or otherwise in respect hereof, or based on or in respect of the Indenture or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Anything in the Indenture or the Security of this series to the contrary notwithstanding, for the purposes of the transactions contemplated by the Indenture relating to the Security of this series, the Security of this series and any document to be signed in connection with the Indenture or such Security (including the Securities of this series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in this Security which are defined in the Indenture shall have the meanings assigned to them in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7"/>
          <w:szCs w:val="17"/>
          <w:b w:val="1"/>
          <w:bCs w:val="1"/>
          <w:color w:val="auto"/>
        </w:rPr>
        <w:t>EXHIBIT A4</w:t>
      </w:r>
    </w:p>
    <w:p>
      <w:pPr>
        <w:sectPr>
          <w:pgSz w:w="11900" w:h="16838" w:orient="portrait"/>
          <w:cols w:equalWidth="0" w:num="1">
            <w:col w:w="9019"/>
          </w:cols>
          <w:pgMar w:left="1440" w:top="90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58" w:name="page59"/>
    <w:bookmarkEnd w:id="5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DEPOSITORY OR A NOMINEE OF A DEPOSITORY, WHICH MAY BE TREATED BY THE COMPANY, THE TRUSTEE AND ANY AGENT THEREOF AS OWNER AND HOLDER OF THIS SECURITY FOR ALL PURPOSES. THIS GLOBAL SECURITY IS EXCHANGEABLE FOR SECURITIES REGISTERED IN THE NAME OF A PERSON OTHER THAN THE DEPOSITORY OR ITS NOMINEE ONLY IN THE LIMITED CIRCUMSTANCES HEREINAFTER DESCRIBED AND MAY NOT BE TRANSFERRED EXCEPT AS A WHOLE BY THE DEPOSITORY TO A NOMINEE OF THE DEPOSITORY OR BY A NOMINEE OF THE DEPOSITORY TO THE DEPOSITORY.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9" w:name="page60"/>
    <w:bookmarkEnd w:id="59"/>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THIS SECURITY HAS NOT BEEN REGISTERED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w:t>
      </w:r>
      <w:r>
        <w:rPr>
          <w:rFonts w:ascii="Times New Roman" w:cs="Times New Roman" w:eastAsia="Times New Roman" w:hAnsi="Times New Roman"/>
          <w:sz w:val="17"/>
          <w:szCs w:val="17"/>
          <w:u w:val="single" w:color="auto"/>
          <w:color w:val="auto"/>
        </w:rPr>
        <w:t>RESALE RESTRICTION TERMINATION DATE</w:t>
      </w:r>
      <w:r>
        <w:rPr>
          <w:rFonts w:ascii="Times New Roman" w:cs="Times New Roman" w:eastAsia="Times New Roman" w:hAnsi="Times New Roman"/>
          <w:sz w:val="17"/>
          <w:szCs w:val="17"/>
          <w:color w:val="auto"/>
        </w:rPr>
        <w:t>”) THAT IS [IN THE CASE OF RULE 144A GLOBAL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 (B) PURSUANT TO A REGISTRATION STATEMENT THAT HAS BEEN DECLARED EFFECTIVE UNDER THE SECURITIES ACT, (C) FOR SO LONG AS THE SECURITIES ARE ELIGIBLE FOR RESALE PURSUANT TO RULE 144A UNDER THE SECURITIES ACT (“</w:t>
      </w:r>
      <w:r>
        <w:rPr>
          <w:rFonts w:ascii="Times New Roman" w:cs="Times New Roman" w:eastAsia="Times New Roman" w:hAnsi="Times New Roman"/>
          <w:sz w:val="17"/>
          <w:szCs w:val="17"/>
          <w:u w:val="single" w:color="auto"/>
          <w:color w:val="auto"/>
        </w:rPr>
        <w:t>RULE 144A</w:t>
      </w:r>
      <w:r>
        <w:rPr>
          <w:rFonts w:ascii="Times New Roman" w:cs="Times New Roman" w:eastAsia="Times New Roman" w:hAnsi="Times New Roman"/>
          <w:sz w:val="17"/>
          <w:szCs w:val="17"/>
          <w:color w:val="auto"/>
        </w:rPr>
        <w:t>”),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w:t>
      </w:r>
    </w:p>
    <w:p>
      <w:pPr>
        <w:spacing w:after="0" w:line="198" w:lineRule="exact"/>
        <w:rPr>
          <w:sz w:val="20"/>
          <w:szCs w:val="20"/>
          <w:color w:val="auto"/>
        </w:rPr>
      </w:pPr>
    </w:p>
    <w:p>
      <w:pPr>
        <w:jc w:val="both"/>
        <w:ind w:firstLine="8"/>
        <w:spacing w:after="0" w:line="250" w:lineRule="auto"/>
        <w:tabs>
          <w:tab w:leader="none" w:pos="3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 (I) AN “EMPLOYEE BENEFIT PLAN” (AS DEFINED IN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THAT IS SUBJECT TO TITLE I OF ERISA, (II) A PLAN DESCRIBED IN SECTION 4975(E)(1)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w:t>
      </w:r>
      <w:r>
        <w:rPr>
          <w:rFonts w:ascii="Times New Roman" w:cs="Times New Roman" w:eastAsia="Times New Roman" w:hAnsi="Times New Roman"/>
          <w:sz w:val="18"/>
          <w:szCs w:val="18"/>
          <w:u w:val="single" w:color="auto"/>
          <w:color w:val="auto"/>
        </w:rPr>
        <w:t>SIMILAR LAWS</w:t>
      </w:r>
      <w:r>
        <w:rPr>
          <w:rFonts w:ascii="Times New Roman" w:cs="Times New Roman" w:eastAsia="Times New Roman" w:hAnsi="Times New Roman"/>
          <w:sz w:val="18"/>
          <w:szCs w:val="18"/>
          <w:color w:val="auto"/>
        </w:rPr>
        <w:t>”)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19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7830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90" w:lineRule="exact"/>
        <w:rPr>
          <w:sz w:val="20"/>
          <w:szCs w:val="20"/>
          <w:color w:val="auto"/>
        </w:rPr>
      </w:pPr>
    </w:p>
    <w:p>
      <w:pPr>
        <w:ind w:left="440" w:hanging="432"/>
        <w:spacing w:after="0"/>
        <w:tabs>
          <w:tab w:leader="none" w:pos="4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Applies to Regulation S Notes only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No. [A-[</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 S-[</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CUSIP No. [494368 CP6 (144A) / U49436 AP0 (Reg S)] PRINCIPAL AMOUNT: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ISIN No. [US494368CP67 (144A) / USU49436AP05 (Reg S)]</w:t>
      </w:r>
    </w:p>
    <w:p>
      <w:pPr>
        <w:spacing w:after="0" w:line="200" w:lineRule="exact"/>
        <w:rPr>
          <w:sz w:val="20"/>
          <w:szCs w:val="20"/>
          <w:color w:val="auto"/>
        </w:rPr>
      </w:pPr>
    </w:p>
    <w:p>
      <w:pPr>
        <w:spacing w:after="0" w:line="22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4.900% NOTES DUE MARCH 22, 2033</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Kimberly-Clark Corporation, a corporation duly incorporated and existing under the laws of the State of Delaware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hereinafter referred to), for value received, hereby promises to pay to CEDE &amp; CO., or registered assigns, the principal sum of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on March 22, 2033, and to pay interest thereon from September 22, 2026, or from the most recent Interest Payment Date to which interest has been paid or duly provided for semi-annually on March 22 and September 22 of each year, commencing March 22, 2027, at the rate of 4.900%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March 7 and September 7 (whether or not a Business Day), as the case may be, next preceding such Interest Payment Date. All references in this Security to any interest or other amount payable on or with respect to this Security will be deemed to include Additional Interest pursuant to the Registration Rights Agreement, if any. Any amounts of Additional Interest due will be payable in cash on the same original Interest Payment Dates as interest on this Security is payable.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interest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pdf or other electronically imaged (including, without limitation, DocuSign or AdobeSign)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4.900% NOTES DUE MARCH 22, 2033</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 First Amended and Restated Indenture, dated as of March 1, 1988, as amended or supplemented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The Bank of New York Mellon Trust Company, N.A., as successor trustee and U.S. Bank Trust Company, National Association, as successor trustee in respect of the Future Notes (as defined in the Eighth Supplemental Indenture dated as of October 27, 2021)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$1,152,617,000.</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Prior to December 22, 2032 (three months prior to the maturity date of the Securities) (the </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the Company may redeem the Securities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15 basis points less (b) interest accrued to, but excluding, the Redemption Date, and</w:t>
      </w:r>
    </w:p>
    <w:p>
      <w:pPr>
        <w:spacing w:after="0" w:line="3" w:lineRule="exact"/>
        <w:rPr>
          <w:sz w:val="20"/>
          <w:szCs w:val="20"/>
          <w:color w:val="auto"/>
        </w:rPr>
      </w:pPr>
    </w:p>
    <w:p>
      <w:pPr>
        <w:jc w:val="both"/>
        <w:ind w:firstLine="8"/>
        <w:spacing w:after="0" w:line="253" w:lineRule="auto"/>
        <w:tabs>
          <w:tab w:leader="none" w:pos="2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 plus, in either case, accrued and unpaid interest thereon to, but excluding, the Redemption Date. On or after the Par Call Date, the Company may redeem the Securities, in whole or in part, at any time and from time to time, at a Redemption Price equal to 100% of the principal amount of the Securities being redeemed plus accrued and unpaid interest thereon to, but excluding, the Redemption Date.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will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will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Notice of any redemption will be mailed or electronically delivered (or otherwise transmitted in accordance with the Depository’s procedures) at least 10 days but not more than 60 days before the Redemption Date to each Holder of Securities to be redeemed. Notice of any redemption of the Securities may, at the Company’s discretion, be given subject to one or more conditions precedent, including, but not limited to, completion of a corporate transaction. If such redemption is so subject to satisfaction of one or more conditions precedent, such notice shall describe each such condition, and, if applicable, will state that at the Company’s discretion, the Redemption Date may be delayed (including more than 60 days after the notice of redemption was given) until such time as any or all such conditions precedent will be satisfied (or waived by the Company in the Company’s sole discretion), or such notice may be rescinded in the event that any or all such conditions shall not have been satisfied or otherwise waived by the Redemption Date, or by the Redemption Date as so delayed. If any such redemption has been rescinded or delayed, the Company will provide written notice to the Trustee prior to the close of business two business days before the Redemption Date and, upon receipt, the Trustee will provide such notice to each Holder of the Securities. Once notice of redemption is mailed or sent, subject to the satisfaction or waiver (in the Company’s sole discretion) of any conditions precedent provided in the notice of redemption, the Securities called for redemption will become due and payable on the Redemption Date and at the applicable Redemption Price, plus accrued and unpaid interest to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(or another depositary), the redemption of the Securities, including the allocation of the Redemption Price among beneficial owners of the Securities, shall be done in accordance with the policies and procedures of the depositary.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will not be entitled to any sinking fund.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a majority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this Security and (b) certain restrictive covenants and certain Events of Default, upon compliance by the Company with certain conditions set forth therein, which provisions apply to this Security.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Security at the office or agency of the Trustee maintained for that purpose in St. Paul, Minnesota, a new Security or Securities of this series in authorized denominations for an equal aggregate principal amount will be issued to the transferee in exchange herefor, as provided in the Indenture and subject to the limitations provided therein and to the limitations described below, without charge except for any tax or other governmental charge imposed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exchangeable for definitive Securities in registered form only if (x) the Depository notifies the Company that it is unwilling or unable to continue as Depository for this Security or if at any time the Depository ceases to be a clearing agency registered under the Securities Exchange Act of 1934, as amended, or (y) the Company in its sole discretion determines that this Security shall be exchangeable for definitive Securities in registered form and notifies the Trustee thereof. If this Security is exchangeable pursuant to the preceding sentence, it shall be exchangeable for definitive Securities in registered form in denominations of $2,000 and any integral multiple of $1,000 in excess thereof, registered in such names as such Depository shall direct, bearing interest at the same rate, having the same date of issuance, redemption provisions, Stated Maturity and other terms and of differing denominations aggregating a like amount.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may not be transferred except as a whole by the Depository to a nominee of the Depository, or by a nominee of the Depository to the Depository or another nominee of the Depository, or by the Depository or any such nominee to a successor of the Depository or a nominee of such successor. Except as provided above, owners of beneficial interests in this global Security will not be entitled to receive physical delivery of Securities in definitive form and will not be considered the Holders hereof for any purpose under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except that in the event the Company deposits money or Government Obligations as provided in Sections 402 or 1006 of the Indenture, such payments will be made only from proceeds of such money or Government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the interest on this Security, or for any claim based hereon, or otherwise in respect hereof, or based on or in respect of the Indenture or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Anything in the Indenture or the Security of this series to the contrary notwithstanding, for the purposes of the transactions contemplated by the Indenture relating to the Security of this series, the Security of this series and any document to be signed in connection with the Indenture or such Security (including the Securities of this series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in this Security which are defined in the Indenture shall have the meanings assigned to them in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7"/>
          <w:szCs w:val="17"/>
          <w:b w:val="1"/>
          <w:bCs w:val="1"/>
          <w:color w:val="auto"/>
        </w:rPr>
        <w:t>EXHIBIT A5</w:t>
      </w:r>
    </w:p>
    <w:p>
      <w:pPr>
        <w:sectPr>
          <w:pgSz w:w="11900" w:h="16838" w:orient="portrait"/>
          <w:cols w:equalWidth="0" w:num="1">
            <w:col w:w="9019"/>
          </w:cols>
          <w:pgMar w:left="1440" w:top="90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68" w:name="page69"/>
    <w:bookmarkEnd w:id="6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DEPOSITORY OR A NOMINEE OF A DEPOSITORY, WHICH MAY BE TREATED BY THE COMPANY, THE TRUSTEE AND ANY AGENT THEREOF AS OWNER AND HOLDER OF THIS SECURITY FOR ALL PURPOSES. THIS GLOBAL SECURITY IS EXCHANGEABLE FOR SECURITIES REGISTERED IN THE NAME OF A PERSON OTHER THAN THE DEPOSITORY OR ITS NOMINEE ONLY IN THE LIMITED CIRCUMSTANCES HEREINAFTER DESCRIBED AND MAY NOT BE TRANSFERRED EXCEPT AS A WHOLE BY THE DEPOSITORY TO A NOMINEE OF THE DEPOSITORY OR BY A NOMINEE OF THE DEPOSITORY TO THE DEPOSITORY.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9" w:name="page70"/>
    <w:bookmarkEnd w:id="69"/>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THIS SECURITY HAS NOT BEEN REGISTERED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w:t>
      </w:r>
      <w:r>
        <w:rPr>
          <w:rFonts w:ascii="Times New Roman" w:cs="Times New Roman" w:eastAsia="Times New Roman" w:hAnsi="Times New Roman"/>
          <w:sz w:val="17"/>
          <w:szCs w:val="17"/>
          <w:u w:val="single" w:color="auto"/>
          <w:color w:val="auto"/>
        </w:rPr>
        <w:t>RESALE RESTRICTION TERMINATION DATE</w:t>
      </w:r>
      <w:r>
        <w:rPr>
          <w:rFonts w:ascii="Times New Roman" w:cs="Times New Roman" w:eastAsia="Times New Roman" w:hAnsi="Times New Roman"/>
          <w:sz w:val="17"/>
          <w:szCs w:val="17"/>
          <w:color w:val="auto"/>
        </w:rPr>
        <w:t>”) THAT IS [IN THE CASE OF RULE 144A GLOBAL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 (B) PURSUANT TO A REGISTRATION STATEMENT THAT HAS BEEN DECLARED EFFECTIVE UNDER THE SECURITIES ACT, (C) FOR SO LONG AS THE SECURITIES ARE ELIGIBLE FOR RESALE PURSUANT TO RULE 144A UNDER THE SECURITIES ACT (“</w:t>
      </w:r>
      <w:r>
        <w:rPr>
          <w:rFonts w:ascii="Times New Roman" w:cs="Times New Roman" w:eastAsia="Times New Roman" w:hAnsi="Times New Roman"/>
          <w:sz w:val="17"/>
          <w:szCs w:val="17"/>
          <w:u w:val="single" w:color="auto"/>
          <w:color w:val="auto"/>
        </w:rPr>
        <w:t>RULE 144A</w:t>
      </w:r>
      <w:r>
        <w:rPr>
          <w:rFonts w:ascii="Times New Roman" w:cs="Times New Roman" w:eastAsia="Times New Roman" w:hAnsi="Times New Roman"/>
          <w:sz w:val="17"/>
          <w:szCs w:val="17"/>
          <w:color w:val="auto"/>
        </w:rPr>
        <w:t>”),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w:t>
      </w:r>
    </w:p>
    <w:p>
      <w:pPr>
        <w:spacing w:after="0" w:line="198" w:lineRule="exact"/>
        <w:rPr>
          <w:sz w:val="20"/>
          <w:szCs w:val="20"/>
          <w:color w:val="auto"/>
        </w:rPr>
      </w:pPr>
    </w:p>
    <w:p>
      <w:pPr>
        <w:jc w:val="both"/>
        <w:ind w:firstLine="8"/>
        <w:spacing w:after="0" w:line="250" w:lineRule="auto"/>
        <w:tabs>
          <w:tab w:leader="none" w:pos="3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 (I) AN “EMPLOYEE BENEFIT PLAN” (AS DEFINED IN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THAT IS SUBJECT TO TITLE I OF ERISA, (II) A PLAN DESCRIBED IN SECTION 4975(E)(1)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w:t>
      </w:r>
      <w:r>
        <w:rPr>
          <w:rFonts w:ascii="Times New Roman" w:cs="Times New Roman" w:eastAsia="Times New Roman" w:hAnsi="Times New Roman"/>
          <w:sz w:val="18"/>
          <w:szCs w:val="18"/>
          <w:u w:val="single" w:color="auto"/>
          <w:color w:val="auto"/>
        </w:rPr>
        <w:t>SIMILAR LAWS</w:t>
      </w:r>
      <w:r>
        <w:rPr>
          <w:rFonts w:ascii="Times New Roman" w:cs="Times New Roman" w:eastAsia="Times New Roman" w:hAnsi="Times New Roman"/>
          <w:sz w:val="18"/>
          <w:szCs w:val="18"/>
          <w:color w:val="auto"/>
        </w:rPr>
        <w:t>”)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19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7830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0" w:lineRule="exact"/>
        <w:rPr>
          <w:sz w:val="20"/>
          <w:szCs w:val="20"/>
          <w:color w:val="auto"/>
        </w:rPr>
      </w:pPr>
    </w:p>
    <w:p>
      <w:pPr>
        <w:ind w:left="120" w:hanging="112"/>
        <w:spacing w:after="0"/>
        <w:tabs>
          <w:tab w:leader="none" w:pos="12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Applies to Regulation S Notes only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No. [A-[</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 S-[</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CUSIP No. [494368 CQ4 (144A) / U49436 AQ8 (Reg S)] PRINCIPAL AMOUNT: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ISIN No. [US494368CQ41 (144A) / USU49436AQ87 (Reg S)]</w:t>
      </w:r>
    </w:p>
    <w:p>
      <w:pPr>
        <w:spacing w:after="0" w:line="200" w:lineRule="exact"/>
        <w:rPr>
          <w:sz w:val="20"/>
          <w:szCs w:val="20"/>
          <w:color w:val="auto"/>
        </w:rPr>
      </w:pPr>
    </w:p>
    <w:p>
      <w:pPr>
        <w:spacing w:after="0" w:line="22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5.100% NOTES DUE MARCH 22, 2043</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Kimberly-Clark Corporation, a corporation duly incorporated and existing under the laws of the State of Delaware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hereinafter referred to), for value received, hereby promises to pay to CEDE &amp; CO., or registered assigns, the principal sum of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on March 22, 2043, and to pay interest thereon from September 22, 2026, or from the most recent Interest Payment Date to which interest has been paid or duly provided for semi-annually on March 22 and September 22 of each year, commencing March 22, 2027, at the rate of 5.100%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March 7 and September 7 (whether or not a Business Day), as the case may be, next preceding such Interest Payment Date. All references in this Security to any interest or other amount payable on or with respect to this Security will be deemed to include Additional Interest pursuant to the Registration Rights Agreement, if any. Any amounts of Additional Interest due will be payable in cash on the same original Interest Payment Dates as interest on this Security is payable.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interest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pdf or other electronically imaged (including, without limitation, DocuSign or AdobeSign)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5.100% NOTES DUE MARCH 22, 2043</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 First Amended and Restated Indenture, dated as of March 1, 1988, as amended or supplemented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The Bank of New York Mellon Trust Company, N.A., as successor trustee and U.S. Bank Trust Company, National Association, as successor trustee in respect of the Future Notes (as defined in the Eighth Supplemental Indenture dated as of October 27, 2021)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$728,377,000.</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Prior to September 22, 2042 (six months prior to the maturity date of the Securities) (the </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the Company may redeem the Securities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20 basis points less (b) interest accrued to, but excluding, the Redemption Date, and</w:t>
      </w:r>
    </w:p>
    <w:p>
      <w:pPr>
        <w:spacing w:after="0" w:line="3" w:lineRule="exact"/>
        <w:rPr>
          <w:sz w:val="20"/>
          <w:szCs w:val="20"/>
          <w:color w:val="auto"/>
        </w:rPr>
      </w:pPr>
    </w:p>
    <w:p>
      <w:pPr>
        <w:jc w:val="both"/>
        <w:ind w:firstLine="8"/>
        <w:spacing w:after="0" w:line="253" w:lineRule="auto"/>
        <w:tabs>
          <w:tab w:leader="none" w:pos="2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 plus, in either case, accrued and unpaid interest thereon to, but excluding, the Redemption Date. On or after the Par Call Date, the Company may redeem the Securities, in whole or in part, at any time and from time to time, at a Redemption Price equal to 100% of the principal amount of the Securities being redeemed plus accrued and unpaid interest thereon to, but excluding, the Redemption Date.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will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will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Notice of any redemption will be mailed or electronically delivered (or otherwise transmitted in accordance with the Depository’s procedures) at least 10 days but not more than 60 days before the Redemption Date to each Holder of Securities to be redeemed. Notice of any redemption of the Securities may, at the Company’s discretion, be given subject to one or more conditions precedent, including, but not limited to, completion of a corporate transaction. If such redemption is so subject to satisfaction of one or more conditions precedent, such notice shall describe each such condition, and, if applicable, will state that at the Company’s discretion, the Redemption Date may be delayed (including more than 60 days after the notice of redemption was given) until such time as any or all such conditions precedent will be satisfied (or waived by the Company in the Company’s sole discretion), or such notice may be rescinded in the event that any or all such conditions shall not have been satisfied or otherwise waived by the Redemption Date, or by the Redemption Date as so delayed. If any such redemption has been rescinded or delayed, the Company will provide written notice to the Trustee prior to the close of business two business days before the Redemption Date and, upon receipt, the Trustee will provide such notice to each Holder of the Securities. Once notice of redemption is mailed or sent, subject to the satisfaction or waiver (in the Company’s sole discretion) of any conditions precedent provided in the notice of redemption, the Securities called for redemption will become due and payable on the Redemption Date and at the applicable Redemption Price, plus accrued and unpaid interest to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(or another depositary), the redemption of the Securities, including the allocation of the Redemption Price among beneficial owners of the Securities, shall be done in accordance with the policies and procedures of the depositary.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will not be entitled to any sinking fund.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a majority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this Security and (b) certain restrictive covenants and certain Events of Default, upon compliance by the Company with certain conditions set forth therein, which provisions apply to this Security.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Security at the office or agency of the Trustee maintained for that purpose in St. Paul, Minnesota, a new Security or Securities of this series in authorized denominations for an equal aggregate principal amount will be issued to the transferee in exchange herefor, as provided in the Indenture and subject to the limitations provided therein and to the limitations described below, without charge except for any tax or other governmental charge imposed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exchangeable for definitive Securities in registered form only if (x) the Depository notifies the Company that it is unwilling or unable to continue as Depository for this Security or if at any time the Depository ceases to be a clearing agency registered under the Securities Exchange Act of 1934, as amended, or (y) the Company in its sole discretion determines that this Security shall be exchangeable for definitive Securities in registered form and notifies the Trustee thereof. If this Security is exchangeable pursuant to the preceding sentence, it shall be exchangeable for definitive Securities in registered form in denominations of $2,000 and any integral multiple of $1,000 in excess thereof, registered in such names as such Depository shall direct, bearing interest at the same rate, having the same date of issuance, redemption provisions, Stated Maturity and other terms and of differing denominations aggregating a like amount.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may not be transferred except as a whole by the Depository to a nominee of the Depository, or by a nominee of the Depository to the Depository or another nominee of the Depository, or by the Depository or any such nominee to a successor of the Depository or a nominee of such successor. Except as provided above, owners of beneficial interests in this global Security will not be entitled to receive physical delivery of Securities in definitive form and will not be considered the Holders hereof for any purpose under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except that in the event the Company deposits money or Government Obligations as provided in Sections 402 or 1006 of the Indenture, such payments will be made only from proceeds of such money or Government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the interest on this Security, or for any claim based hereon, or otherwise in respect hereof, or based on or in respect of the Indenture or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Anything in the Indenture or the Security of this series to the contrary notwithstanding, for the purposes of the transactions contemplated by the Indenture relating to the Security of this series, the Security of this series and any document to be signed in connection with the Indenture or such Security (including the Securities of this series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in this Security which are defined in the Indenture shall have the meanings assigned to them in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b w:val="1"/>
          <w:bCs w:val="1"/>
          <w:color w:val="auto"/>
        </w:rPr>
        <w:t>EXHIBIT A6</w:t>
      </w:r>
    </w:p>
    <w:p>
      <w:pPr>
        <w:sectPr>
          <w:pgSz w:w="11900" w:h="16838" w:orient="portrait"/>
          <w:cols w:equalWidth="0" w:num="1">
            <w:col w:w="9019"/>
          </w:cols>
          <w:pgMar w:left="1440" w:top="90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78" w:name="page79"/>
    <w:bookmarkEnd w:id="7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DEPOSITORY OR A NOMINEE OF A DEPOSITORY, WHICH MAY BE TREATED BY THE COMPANY, THE TRUSTEE AND ANY AGENT THEREOF AS OWNER AND HOLDER OF THIS SECURITY FOR ALL PURPOSES. THIS GLOBAL SECURITY IS EXCHANGEABLE FOR SECURITIES REGISTERED IN THE NAME OF A PERSON OTHER THAN THE DEPOSITORY OR ITS NOMINEE ONLY IN THE LIMITED CIRCUMSTANCES HEREINAFTER DESCRIBED AND MAY NOT BE TRANSFERRED EXCEPT AS A WHOLE BY THE DEPOSITORY TO A NOMINEE OF THE DEPOSITORY OR BY A NOMINEE OF THE DEPOSITORY TO THE DEPOSITORY.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w:t>
      </w:r>
      <w:r>
        <w:rPr>
          <w:rFonts w:ascii="Times New Roman" w:cs="Times New Roman" w:eastAsia="Times New Roman" w:hAnsi="Times New Roman"/>
          <w:sz w:val="18"/>
          <w:szCs w:val="18"/>
          <w:u w:val="single" w:color="auto"/>
          <w:color w:val="auto"/>
        </w:rPr>
        <w:t>RESALE RESTRICTION TERMINATION DATE</w:t>
      </w:r>
      <w:r>
        <w:rPr>
          <w:rFonts w:ascii="Times New Roman" w:cs="Times New Roman" w:eastAsia="Times New Roman" w:hAnsi="Times New Roman"/>
          <w:sz w:val="18"/>
          <w:szCs w:val="18"/>
          <w:color w:val="auto"/>
        </w:rPr>
        <w:t>”) THAT IS [IN THE CASE OF RULE 144A GLOBAL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 (B) PURSUANT TO A REGISTRATION STATEMENT THAT HAS BEEN DECLARED EFFECTIVE UNDER THE SECURITIES ACT, (C) FOR SO LONG AS THE SECURITIES ARE ELIGIBLE FOR RESALE PURSUANT TO RULE 144A UNDER THE SECURITIES ACT (“</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 (I) AN “EMPLOYEE BENEFIT PLAN” (AS DEFINED IN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THAT IS SUBJECT TO TITLE I OF ERISA, (II) A PLAN DESCRIBED IN SECTION 4975(E)(1)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w:t>
      </w:r>
      <w:r>
        <w:rPr>
          <w:rFonts w:ascii="Times New Roman" w:cs="Times New Roman" w:eastAsia="Times New Roman" w:hAnsi="Times New Roman"/>
          <w:sz w:val="18"/>
          <w:szCs w:val="18"/>
          <w:u w:val="single" w:color="auto"/>
          <w:color w:val="auto"/>
        </w:rPr>
        <w:t>SIMILAR LAWS</w:t>
      </w:r>
      <w:r>
        <w:rPr>
          <w:rFonts w:ascii="Times New Roman" w:cs="Times New Roman" w:eastAsia="Times New Roman" w:hAnsi="Times New Roman"/>
          <w:sz w:val="18"/>
          <w:szCs w:val="18"/>
          <w:color w:val="auto"/>
        </w:rPr>
        <w:t>”)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19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7830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0" w:lineRule="exact"/>
        <w:rPr>
          <w:sz w:val="20"/>
          <w:szCs w:val="20"/>
          <w:color w:val="auto"/>
        </w:rPr>
      </w:pPr>
    </w:p>
    <w:p>
      <w:pPr>
        <w:ind w:left="440" w:hanging="432"/>
        <w:spacing w:after="0"/>
        <w:tabs>
          <w:tab w:leader="none" w:pos="4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Applies to Regulation S Notes only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No. [A-[</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 S-[</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CUSIP No. [494368 CR2 (144A) / U49436 AR6 (Reg S)] PRINCIPAL AMOUNT: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ISIN No. [US494368CR24 (144A) / USU49436AR60 (Reg S)]</w:t>
      </w:r>
    </w:p>
    <w:p>
      <w:pPr>
        <w:spacing w:after="0" w:line="200" w:lineRule="exact"/>
        <w:rPr>
          <w:sz w:val="20"/>
          <w:szCs w:val="20"/>
          <w:color w:val="auto"/>
        </w:rPr>
      </w:pPr>
    </w:p>
    <w:p>
      <w:pPr>
        <w:spacing w:after="0" w:line="22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5.050% NOTES DUE MARCH 22, 2053</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Kimberly-Clark Corporation, a corporation duly incorporated and existing under the laws of the State of Delaware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hereinafter referred to), for value received, hereby promises to pay to CEDE &amp; CO., or registered assigns, the principal sum of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on March 22, 2053, and to pay interest thereon from September 22, 2026, or from the most recent Interest Payment Date to which interest has been paid or duly provided for semi-annually on March 22 and September 22 of each year, commencing March 22, 2027, at the rate of 5.050%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March 7 and September 7 (whether or not a Business Day), as the case may be, next preceding such Interest Payment Date. All references in this Security to any interest or other amount payable on or with respect to this Security will be deemed to include Additional Interest pursuant to the Registration Rights Agreement, if any. Any amounts of Additional Interest due will be payable in cash on the same original Interest Payment Dates as interest on this Security is payable.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interest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pdf or other electronically imaged (including, without limitation, DocuSign or AdobeSign)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5.050% NOTES DUE MARCH 22, 2053</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 First Amended and Restated Indenture, dated as of March 1, 1988, as amended or supplemented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The Bank of New York Mellon Trust Company, N.A., as successor trustee and U.S. Bank Trust Company, National Association, as successor trustee in respect of the Future Notes (as defined in the Eighth Supplemental Indenture dated as of October 27, 2021)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$1,478,073,000.</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Prior to September 22, 2052 (six months prior to the maturity date of the Securities) (the </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the Company may redeem the Securities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20 basis points less (b) interest accrued to, but excluding, the Redemption Date, and (2) 100% of the principal amount of the Securities to be redeemed, plus, in either case, accrued and unpaid interest thereon to, but excluding, the Redemption Date. On or after the Par Call Date, the Company may redeem the Securities, in whole or in part, at any time and from time to time, at a Redemption Price equal to 100% of the principal amount of the Securities being redeemed plus accrued and unpaid interest thereon to, but excluding, the Redemption Date.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will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will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Notice of any redemption will be mailed or electronically delivered (or otherwise transmitted in accordance with the Depository’s procedures) at least 10 days but not more than 60 days before the Redemption Date to each Holder of Securities to be redeemed. Notice of any redemption of the Securities may, at the Company’s discretion, be given subject to one or more conditions precedent, including, but not limited to, completion of a corporate transaction. If such redemption is so subject to satisfaction of one or more conditions precedent, such notice shall describe each such condition, and, if applicable, will state that at the Company’s discretion, the Redemption Date may be delayed (including more than 60 days after the notice of redemption was given) until such time as any or all such conditions precedent will be satisfied (or waived by the Company in the Company’s sole discretion), or such notice may be rescinded in the event that any or all such conditions shall not have been satisfied or otherwise waived by the Redemption Date, or by the Redemption Date as so delayed. If any such redemption has been rescinded or delayed, the Company will provide written notice to the Trustee prior to the close of business two business days before the Redemption Date and, upon receipt, the Trustee will provide such notice to each Holder of the Securities. Once notice of redemption is mailed or sent, subject to the satisfaction or waiver (in the Company’s sole discretion) of any conditions precedent provided in the notice of redemption, the Securities called for redemption will become due and payable on the Redemption Date and at the applicable Redemption Price, plus accrued and unpaid interest to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(or another depositary), the redemption of the Securities, including the allocation of the Redemption Price among beneficial owners of the Securities, shall be done in accordance with the policies and procedures of the depositary.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will not be entitled to any sinking fund.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a majority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this Security and (b) certain restrictive covenants and certain Events of Default, upon compliance by the Company with certain conditions set forth therein, which provisions apply to this Security.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Security at the office or agency of the Trustee maintained for that purpose in St. Paul, Minnesota, a new Security or Securities of this series in authorized denominations for an equal aggregate principal amount will be issued to the transferee in exchange herefor, as provided in the Indenture and subject to the limitations provided therein and to the limitations described below, without charge except for any tax or other governmental charge imposed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exchangeable for definitive Securities in registered form only if (x) the Depository notifies the Company that it is unwilling or unable to continue as Depository for this Security or if at any time the Depository ceases to be a clearing agency registered under the Securities Exchange Act of 1934, as amended, or (y) the Company in its sole discretion determines that this Security shall be exchangeable for definitive Securities in registered form and notifies the Trustee thereof. If this Security is exchangeable pursuant to the preceding sentence, it shall be exchangeable for definitive Securities in registered form in denominations of $2,000 and any integral multiple of $1,000 in excess thereof, registered in such names as such Depository shall direct, bearing interest at the same rate, having the same date of issuance, redemption provisions, Stated Maturity and other terms and of differing denominations aggregating a like amount.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may not be transferred except as a whole by the Depository to a nominee of the Depository, or by a nominee of the Depository to the Depository or another nominee of the Depository, or by the Depository or any such nominee to a successor of the Depository or a nominee of such successor. Except as provided above, owners of beneficial interests in this global Security will not be entitled to receive physical delivery of Securities in definitive form and will not be considered the Holders hereof for any purpose under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except that in the event the Company deposits money or Government Obligations as provided in Sections 402 or 1006 of the Indenture, such payments will be made only from proceeds of such money or Government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the interest on this Security, or for any claim based hereon, or otherwise in respect hereof, or based on or in respect of the Indenture or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Anything in the Indenture or the Security of this series to the contrary notwithstanding, for the purposes of the transactions contemplated by the Indenture relating to the Security of this series, the Security of this series and any document to be signed in connection with the Indenture or such Security (including the Securities of this series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in this Security which are defined in the Indenture shall have the meanings assigned to them in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7"/>
          <w:szCs w:val="17"/>
          <w:b w:val="1"/>
          <w:bCs w:val="1"/>
          <w:color w:val="auto"/>
        </w:rPr>
        <w:t>EXHIBIT A7</w:t>
      </w:r>
    </w:p>
    <w:p>
      <w:pPr>
        <w:sectPr>
          <w:pgSz w:w="11900" w:h="16838" w:orient="portrait"/>
          <w:cols w:equalWidth="0" w:num="1">
            <w:col w:w="9019"/>
          </w:cols>
          <w:pgMar w:left="1440" w:top="90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88" w:name="page89"/>
    <w:bookmarkEnd w:id="8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DEPOSITORY OR A NOMINEE OF A DEPOSITORY, WHICH MAY BE TREATED BY THE COMPANY, THE TRUSTEE AND ANY AGENT THEREOF AS OWNER AND HOLDER OF THIS SECURITY FOR ALL PURPOSES. THIS GLOBAL SECURITY IS EXCHANGEABLE FOR SECURITIES REGISTERED IN THE NAME OF A PERSON OTHER THAN THE DEPOSITORY OR ITS NOMINEE ONLY IN THE LIMITED CIRCUMSTANCES HEREINAFTER DESCRIBED AND MAY NOT BE TRANSFERRED EXCEPT AS A WHOLE BY THE DEPOSITORY TO A NOMINEE OF THE DEPOSITORY OR BY A NOMINEE OF THE DEPOSITORY TO THE DEPOSITORY.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9" w:name="page90"/>
    <w:bookmarkEnd w:id="8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w:t>
      </w:r>
      <w:r>
        <w:rPr>
          <w:rFonts w:ascii="Times New Roman" w:cs="Times New Roman" w:eastAsia="Times New Roman" w:hAnsi="Times New Roman"/>
          <w:sz w:val="18"/>
          <w:szCs w:val="18"/>
          <w:u w:val="single" w:color="auto"/>
          <w:color w:val="auto"/>
        </w:rPr>
        <w:t>RESALE RESTRICTION TERMINATION DATE</w:t>
      </w:r>
      <w:r>
        <w:rPr>
          <w:rFonts w:ascii="Times New Roman" w:cs="Times New Roman" w:eastAsia="Times New Roman" w:hAnsi="Times New Roman"/>
          <w:sz w:val="18"/>
          <w:szCs w:val="18"/>
          <w:color w:val="auto"/>
        </w:rPr>
        <w:t>”) THAT IS [IN THE CASE OF RULE 144A GLOBAL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 (B) PURSUANT TO A REGISTRATION STATEMENT THAT HAS BEEN DECLARED EFFECTIVE UNDER THE SECURITIES ACT, (C) FOR SO LONG AS THE SECURITIES ARE ELIGIBLE FOR RESALE PURSUANT TO RULE 144A UNDER THE SECURITIES ACT (“</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 (I) AN “EMPLOYEE BENEFIT PLAN” (AS DEFINED IN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THAT IS SUBJECT TO TITLE I OF ERISA, (II) A PLAN DESCRIBED IN SECTION 4975(E)(1)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w:t>
      </w:r>
      <w:r>
        <w:rPr>
          <w:rFonts w:ascii="Times New Roman" w:cs="Times New Roman" w:eastAsia="Times New Roman" w:hAnsi="Times New Roman"/>
          <w:sz w:val="18"/>
          <w:szCs w:val="18"/>
          <w:u w:val="single" w:color="auto"/>
          <w:color w:val="auto"/>
        </w:rPr>
        <w:t>SIMILAR LAWS</w:t>
      </w:r>
      <w:r>
        <w:rPr>
          <w:rFonts w:ascii="Times New Roman" w:cs="Times New Roman" w:eastAsia="Times New Roman" w:hAnsi="Times New Roman"/>
          <w:sz w:val="18"/>
          <w:szCs w:val="18"/>
          <w:color w:val="auto"/>
        </w:rPr>
        <w:t>”)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19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7830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90" w:lineRule="exact"/>
        <w:rPr>
          <w:sz w:val="20"/>
          <w:szCs w:val="20"/>
          <w:color w:val="auto"/>
        </w:rPr>
      </w:pPr>
    </w:p>
    <w:p>
      <w:pPr>
        <w:ind w:left="440" w:hanging="432"/>
        <w:spacing w:after="0"/>
        <w:tabs>
          <w:tab w:leader="none" w:pos="4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Applies to Regulation S Notes only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No. [A-[</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 S-[</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CUSIP No. [494368 CS0 (144A) / U49436 AS4 (Reg S)] PRINCIPAL AMOUNT: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ISIN No. [US494368CS07 (144A) / USU49436AS44 (Reg S)]</w:t>
      </w:r>
    </w:p>
    <w:p>
      <w:pPr>
        <w:spacing w:after="0" w:line="200" w:lineRule="exact"/>
        <w:rPr>
          <w:sz w:val="20"/>
          <w:szCs w:val="20"/>
          <w:color w:val="auto"/>
        </w:rPr>
      </w:pPr>
    </w:p>
    <w:p>
      <w:pPr>
        <w:spacing w:after="0" w:line="22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5.200% NOTES DUE MARCH 22, 2063</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Kimberly-Clark Corporation, a corporation duly incorporated and existing under the laws of the State of Delaware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hereinafter referred to), for value received, hereby promises to pay to CEDE &amp; CO., or registered assigns, the principal sum of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on March 22, 2063, and to pay interest thereon from September 22, 2026, or from the most recent Interest Payment Date to which interest has been paid or duly provided for semi-annually on March 22 and September 22 of each year, commencing March 22, 2027, at the rate of 5.200%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March 7 and September 7 (whether or not a Business Day), as the case may be, next preceding such Interest Payment Date. All references in this Security to any interest or other amount payable on or with respect to this Security will be deemed to include Additional Interest pursuant to the Registration Rights Agreement, if any. Any amounts of Additional Interest due will be payable in cash on the same original Interest Payment Dates as interest on this Security is payable.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interest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pdf or other electronically imaged (including, without limitation, DocuSign or AdobeSign)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5.200% NOTES DUE MARCH 22, 2063</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 First Amended and Restated Indenture, dated as of March 1, 1988, as amended or supplemented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The Bank of New York Mellon Trust Company, N.A., as successor trustee and U.S. Bank Trust Company, National Association, as successor trustee in respect of the Future Notes (as defined in the Eighth Supplemental Indenture dated as of October 27, 2021)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$727,930,000.</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Prior to September 22, 2062 (six months prior to the maturity date of the Securities) (the </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the Company may redeem the Securities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25 basis points less (b) interest accrued to, but excluding, the Redemption Date, and (2) 100% of the principal amount of the Securities to be redeemed, plus, in either case, accrued and unpaid interest thereon to, but excluding, the Redemption Date. On or after the Par Call Date, the Company may redeem the Securities, in whole or in part, at any time and from time to time, at a Redemption Price equal to 100% of the principal amount of the Securities being redeemed plus accrued and unpaid interest thereon to, but excluding, the Redemption Date.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will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will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Notice of any redemption will be mailed or electronically delivered (or otherwise transmitted in accordance with the Depository’s procedures) at least 10 days but not more than 60 days before the Redemption Date to each Holder of Securities to be redeemed. Notice of any redemption of the Securities may, at the Company’s discretion, be given subject to one or more conditions precedent, including, but not limited to, completion of a corporate transaction. If such redemption is so subject to satisfaction of one or more conditions precedent, such notice shall describe each such condition, and, if applicable, will state that at the Company’s discretion, the Redemption Date may be delayed (including more than 60 days after the notice of redemption was given) until such time as any or all such conditions precedent will be satisfied (or waived by the Company in the Company’s sole discretion), or such notice may be rescinded in the event that any or all such conditions shall not have been satisfied or otherwise waived by the Redemption Date, or by the Redemption Date as so delayed. If any such redemption has been rescinded or delayed, the Company will provide written notice to the Trustee prior to the close of business two business days before the Redemption Date and, upon receipt, the Trustee will provide such notice to each Holder of the Securities. Once notice of redemption is mailed or sent, subject to the satisfaction or waiver (in the Company’s sole discretion) of any conditions precedent provided in the notice of redemption, the Securities called for redemption will become due and payable on the Redemption Date and at the applicable Redemption Price, plus accrued and unpaid interest to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(or another depositary), the redemption of the Securities, including the allocation of the Redemption Price among beneficial owners of the Securities, shall be done in accordance with the policies and procedures of the depositary.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will not be entitled to any sinking fund.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a majority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this Security and (b) certain restrictive covenants and certain Events of Default, upon compliance by the Company with certain conditions set forth therein, which provisions apply to this Security.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Security at the office or agency of the Trustee maintained for that purpose in St. Paul, Minnesota, a new Security or Securities of this series in authorized denominations for an equal aggregate principal amount will be issued to the transferee in exchange herefor, as provided in the Indenture and subject to the limitations provided therein and to the limitations described below, without charge except for any tax or other governmental charge imposed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exchangeable for definitive Securities in registered form only if (x) the Depository notifies the Company that it is unwilling or unable to continue as Depository for this Security or if at any time the Depository ceases to be a clearing agency registered under the Securities Exchange Act of 1934, as amended, or (y) the Company in its sole discretion determines that this Security shall be exchangeable for definitive Securities in registered form and notifies the Trustee thereof. If this Security is exchangeable pursuant to the preceding sentence, it shall be exchangeable for definitive Securities in registered form in denominations of $2,000 and any integral multiple of $1,000 in excess thereof, registered in such names as such Depository shall direct, bearing interest at the same rate, having the same date of issuance, redemption provisions, Stated Maturity and other terms and of differing denominations aggregating a like amount.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may not be transferred except as a whole by the Depository to a nominee of the Depository, or by a nominee of the Depository to the Depository or another nominee of the Depository, or by the Depository or any such nominee to a successor of the Depository or a nominee of such successor. Except as provided above, owners of beneficial interests in this global Security will not be entitled to receive physical delivery of Securities in definitive form and will not be considered the Holders hereof for any purpose under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except that in the event the Company deposits money or Government Obligations as provided in Sections 402 or 1006 of the Indenture, such payments will be made only from proceeds of such money or Government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the interest on this Security, or for any claim based hereon, or otherwise in respect hereof, or based on or in respect of the Indenture or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Anything in the Indenture or the Security of this series to the contrary notwithstanding, for the purposes of the transactions contemplated by the Indenture relating to the Security of this series, the Security of this series and any document to be signed in connection with the Indenture or such Security (including the Securities of this series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in this Security which are defined in the Indenture shall have the meanings assigned to them in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OF CERTIFICATE OF TRANSFER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619100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75261-9100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 as Trustee/Registrar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Bondholder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Fillmore Ave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Paul, MN 55107-1402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1-800-934-6802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_____ % Senior Notes due 20_____</w:t>
      </w:r>
    </w:p>
    <w:p>
      <w:pPr>
        <w:spacing w:after="0" w:line="225"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Reference is hereby made to that certain First Amended and Restated Indenture, dated as of March 1, 1988, (as amended, supplemented or otherwise modified from time to time, the “Indenture”) among Kimberly-Clark Corporation, a corporation duly organized and existing under the laws of the State of Delaware (the “Corporation”), U.S. Bank Trust Company, National Association, a national banking association duly incorporated and existing under the laws of the United States, as successor trustee in respect of the Future Notes (as defined in the Eighth Supplemental Indenture referred to below) (the “Trustee”) and The Bank of New York Mellon Trust Company, N.A., as successor trustee (the “First Trustee”) as amended and supplemented by the First Supplemental Indenture, dated as of November 6, 1992, the Second Supplemental Indenture, dated as of May 25, 1994, the Third Supplemental Indenture, dated as of March 14, 2002, the Fourth Supplemental Indenture, dated as of December 19, 2006, the Fifth Supplemental Indenture, dated as of February 9, 2011, the Sixth Supplemental Indenture, dated as of September 7, 2017, the Seventh Supplemental Indenture, dated as of September 11, 2020, the Eighth Supplemental Indenture, dated as of October 27, 2021, the Ninth Supplemental Indenture, dated as of November 2, 2021, the Tenth Supplemental Indenture, dated as of February 16, 2023, the Eleventh Supplemental Indenture, dated as of October 29, 2026 and the Twelfth Supplemental Indenture, dated as of November 4, 2026 (the “</w:t>
      </w:r>
      <w:r>
        <w:rPr>
          <w:rFonts w:ascii="Times New Roman" w:cs="Times New Roman" w:eastAsia="Times New Roman" w:hAnsi="Times New Roman"/>
          <w:sz w:val="18"/>
          <w:szCs w:val="18"/>
          <w:u w:val="single" w:color="auto"/>
          <w:color w:val="auto"/>
        </w:rPr>
        <w:t>Twelfth Supplemental Indenture</w:t>
      </w:r>
      <w:r>
        <w:rPr>
          <w:rFonts w:ascii="Times New Roman" w:cs="Times New Roman" w:eastAsia="Times New Roman" w:hAnsi="Times New Roman"/>
          <w:sz w:val="18"/>
          <w:szCs w:val="18"/>
          <w:color w:val="auto"/>
        </w:rPr>
        <w:t>”), related to the _____% Senior Notes due 20_____ (the “Notes”). Capitalized terms used but not defined herein shall have the meanings given to them in the Twelfth Supplemental Indenture.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 (the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owns and proposes to transfer the Note[s] or interest in such Note[s] specified in Annex A hereto,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$_____ in such Note[s] or interests (the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_____________ to _____________ (the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as further specified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A hereto. In connection with any Transfer, the Transferor hereby certifies that:</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225" w:lineRule="exact"/>
        <w:rPr>
          <w:sz w:val="20"/>
          <w:szCs w:val="20"/>
          <w:color w:val="auto"/>
        </w:rPr>
      </w:pPr>
    </w:p>
    <w:p>
      <w:pPr>
        <w:ind w:firstLine="656"/>
        <w:spacing w:after="0" w:line="253" w:lineRule="auto"/>
        <w:tabs>
          <w:tab w:leader="none" w:pos="8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THE RELEVANT RULE 144A GLOBAL NOTE OR RELEVANT DEFINITIVE NOTE PURSUANT TO RULE 144A. The Transfer is being effected pursuant to and in accordance with Rule 144A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accordingly, the Transferor hereby further certifies that the beneficial interest or definitive Note is being transferred to a Person that is purchasing the beneficial interest or definitive Note for its own account, or for one or more accounts with respect to which such Person exercises sole investment discretion, and such Person and each such account is a Person the Transferor reasonably believes is a “qualified institutional buyer” within the meaning of Rule 144A in a transaction meeting the requirements of</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144A, and such Transfer is in compliance with any applicable securities laws of the states of the United States and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98" w:name="page99"/>
    <w:bookmarkEnd w:id="98"/>
    <w:p>
      <w:pPr>
        <w:ind w:right="20" w:firstLine="656"/>
        <w:spacing w:after="0" w:line="253" w:lineRule="auto"/>
        <w:tabs>
          <w:tab w:leader="none" w:pos="8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THE RELEVANT REGULATION S GLOBAL NOTE OR RELEVANT DEFINITIVE NOTE PURSUANT TO 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w:t>
      </w:r>
    </w:p>
    <w:p>
      <w:pPr>
        <w:spacing w:after="0" w:line="2"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904(b) of Regulation S under the Securities Act, (iii) the transaction is not part of a plan or scheme to evade the registration requirements of the Securities Act and (iv) if the proposed transfer is being made prior to the expiration of the applicable Restricted Period, the transfer is not being made to a U.S. Person or for the account or benefit of a U.S. Person (other than a distributor) and the interest transferred will be held immediately thereafter through Euroclear or Clearstream. Upon consummation of the proposed transfer in accordance with the terms of the Indenture, the transferred beneficial interest or definitive Note will be subject to the restrictions on Transfer enumerated in the Indenture and the Securities Act.</w:t>
      </w:r>
    </w:p>
    <w:p>
      <w:pPr>
        <w:spacing w:after="0" w:line="186" w:lineRule="exact"/>
        <w:rPr>
          <w:rFonts w:ascii="Times New Roman" w:cs="Times New Roman" w:eastAsia="Times New Roman" w:hAnsi="Times New Roman"/>
          <w:sz w:val="18"/>
          <w:szCs w:val="18"/>
          <w:color w:val="auto"/>
        </w:rPr>
      </w:pPr>
    </w:p>
    <w:p>
      <w:pPr>
        <w:ind w:right="120" w:firstLine="656"/>
        <w:spacing w:after="0" w:line="258" w:lineRule="auto"/>
        <w:tabs>
          <w:tab w:leader="none" w:pos="8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AND COMPLETE IF TRANSFEREE WILL TAKE DELIVERY OF A BENEFICIAL INTEREST IN THE RELEVANT RULE 144A GLOBAL NOTE OR RELEVANT DEFINITIVE NOTE PURSUANT TO ANY PROVISION OF THE SECURITIES ACT OTHER THAN RULE 144A OR REGULATION S. The Transfer is being effected in compliance with the transfer restrictions applicable to beneficial interests in Transfer Restricted Notes and pursuant to and in accordance with the Securities Act and any applicable securities laws of the states of the United States and other jurisdictions, and accordingly the Transferor hereby further certifies that (check one):</w:t>
      </w:r>
    </w:p>
    <w:p>
      <w:pPr>
        <w:spacing w:after="0" w:line="18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such Transfer is being effected pursuant to and in accordance with Rule 144 under the Securities Act;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such Transfer is being effected to the Corporation or a subsidiary thereof; or</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such Transfer is being effected to an institutional “accredited investor” within the meaning of Rule 501(a)(1), (2), (3), (7) or</w:t>
      </w:r>
    </w:p>
    <w:p>
      <w:pPr>
        <w:spacing w:after="0" w:line="27" w:lineRule="exact"/>
        <w:rPr>
          <w:sz w:val="20"/>
          <w:szCs w:val="20"/>
          <w:color w:val="auto"/>
        </w:rPr>
      </w:pPr>
    </w:p>
    <w:p>
      <w:pPr>
        <w:ind w:left="660" w:right="20" w:hanging="4"/>
        <w:spacing w:after="0" w:line="255" w:lineRule="auto"/>
        <w:tabs>
          <w:tab w:leader="none" w:pos="9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Regulation D promulgated under the Securities Act that is not a “qualified institutional buyer” and that is purchasing for its own account or for the account of another institutional accredited investor, in each case in a minimum principal amount of the Notes of $250,000, for investment purposes and not with a view to or for offer or sale in connection with any distribution in violation of the Securities Act; or</w:t>
      </w:r>
    </w:p>
    <w:p>
      <w:pPr>
        <w:spacing w:after="0" w:line="18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pursuant to another available exemption from the registration requirements of the Securities Act.</w:t>
      </w:r>
    </w:p>
    <w:p>
      <w:pPr>
        <w:spacing w:after="0" w:line="225" w:lineRule="exact"/>
        <w:rPr>
          <w:sz w:val="20"/>
          <w:szCs w:val="20"/>
          <w:color w:val="auto"/>
        </w:rPr>
      </w:pPr>
    </w:p>
    <w:p>
      <w:pPr>
        <w:ind w:right="340" w:firstLine="656"/>
        <w:spacing w:after="0" w:line="282" w:lineRule="auto"/>
        <w:tabs>
          <w:tab w:leader="none" w:pos="8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A NOTE THAT DOES NOT BEAR, OR IS NOT REQUIRED TO BEAR, THE TRANSFER RESTRICTED NOTES LEGEND.</w:t>
      </w:r>
    </w:p>
    <w:p>
      <w:pPr>
        <w:spacing w:after="0" w:line="161" w:lineRule="exact"/>
        <w:rPr>
          <w:rFonts w:ascii="Times New Roman" w:cs="Times New Roman" w:eastAsia="Times New Roman" w:hAnsi="Times New Roman"/>
          <w:sz w:val="18"/>
          <w:szCs w:val="18"/>
          <w:color w:val="auto"/>
        </w:rPr>
      </w:pPr>
    </w:p>
    <w:p>
      <w:pPr>
        <w:ind w:left="660" w:firstLine="644"/>
        <w:spacing w:after="0" w:line="256" w:lineRule="auto"/>
        <w:tabs>
          <w:tab w:leader="none" w:pos="155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 IS PURSUANT TO RULE 144. (i) The Transfer is being effected pursuant to and in accordance with Rule 144 under the Securities Act and in compliance with the transfer restrictions contained in the Indenture and any applicable securities laws of the states of the United States and other jurisdictions and (ii) the restrictions on transfer contained in the Indenture and the Restricted Notes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Restricted Notes Legend printed on the Transfer Restricted Notes and in the Indenture.</w:t>
      </w:r>
    </w:p>
    <w:p>
      <w:pPr>
        <w:spacing w:after="0" w:line="187" w:lineRule="exact"/>
        <w:rPr>
          <w:rFonts w:ascii="Times New Roman" w:cs="Times New Roman" w:eastAsia="Times New Roman" w:hAnsi="Times New Roman"/>
          <w:sz w:val="18"/>
          <w:szCs w:val="18"/>
          <w:color w:val="auto"/>
        </w:rPr>
      </w:pPr>
    </w:p>
    <w:p>
      <w:pPr>
        <w:ind w:left="660" w:right="180" w:firstLine="644"/>
        <w:spacing w:after="0" w:line="261" w:lineRule="auto"/>
        <w:tabs>
          <w:tab w:leader="none" w:pos="156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 IS PURSUANT TO AN EFFECTIVE REGISTRATION STATEMENT. The Transfer is being effected pursuant to an effective registration statement under the Securities Act. Upon consummation of the proposed Transfer in accordance with the terms of the Indenture, the transferred beneficial interest or definitive Note will no longer be subject to the restrictions on transfer enumerated in the Restricted Notes Legend printed on the Transfer Restricted Notes and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9" w:name="page100"/>
    <w:bookmarkEnd w:id="99"/>
    <w:p>
      <w:pPr>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If box 2, 3(a), 3(c), 3(d) or 4(a) is checked, the Corporation and the Trustee may require, prior to registering any such Transfer, such legal opinions, certifications and other information as the Corporation and the Trustee may reasonably request to confirm that such Transfer is being made pursuant to an exemption from, or in a transaction not subject to, the registration requirements of the Securities Act.</w:t>
      </w:r>
    </w:p>
    <w:p>
      <w:pPr>
        <w:spacing w:after="0" w:line="176" w:lineRule="exact"/>
        <w:rPr>
          <w:sz w:val="20"/>
          <w:szCs w:val="20"/>
          <w:color w:val="auto"/>
        </w:rPr>
      </w:pPr>
    </w:p>
    <w:p>
      <w:pPr>
        <w:ind w:firstLine="656"/>
        <w:spacing w:after="0" w:line="255" w:lineRule="auto"/>
        <w:tabs>
          <w:tab w:leader="none" w:pos="8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AND COMPLETE IF THE TRANSFEROR OWNS AND PROPOSES TO TRANSFER A BENEFICIAL INTEREST IN THE RELEVANT REGULATION S GLOBAL NOTE OR RELEVANT DEFINITIVE NOTE PURSUANT TO REGULATION S AND THE TRANSFEREE WILL TAKE DELIVERY OF A BENEFICIAL INTEREST IN THE RELEVANT RULE 144A GLOBAL NOTE OR RELEVANT DEFINITIVE NOTE PRIOR TO THE EXPIRY OF THE RESTRICTED PERIOD. The Transferor hereby further certifies that the beneficial interest or definitive Note is being transferred to a Person that is purchasing the beneficial interest or definitive Note for its own account, or for one or more accounts with respect to which such Person exercises sole investment discretion, and such Person and each such account (other than a distributor) is not a U.S. Person, and such Transfer is in compliance with any applicable securities laws of the states of the United States and other jurisdictions.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Corporation.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25" w:lineRule="exact"/>
        <w:rPr>
          <w:sz w:val="20"/>
          <w:szCs w:val="20"/>
          <w:color w:val="auto"/>
        </w:rPr>
      </w:pPr>
    </w:p>
    <w:p>
      <w:pPr>
        <w:ind w:left="5720"/>
        <w:spacing w:after="0"/>
        <w:tabs>
          <w:tab w:leader="none" w:pos="6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5715</wp:posOffset>
            </wp:positionV>
            <wp:extent cx="31375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3137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auto"/>
        </w:rPr>
        <w:t>ANNEX A TO CERTIFICATE OF TRANSFER</w:t>
      </w:r>
    </w:p>
    <w:p>
      <w:pPr>
        <w:spacing w:after="0" w:line="225"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owns and proposes to transfer the following: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ONE OF (a) OR (b)]</w:t>
      </w:r>
    </w:p>
    <w:p>
      <w:pPr>
        <w:spacing w:after="0" w:line="184" w:lineRule="exact"/>
        <w:rPr>
          <w:sz w:val="20"/>
          <w:szCs w:val="20"/>
          <w:color w:val="auto"/>
        </w:rPr>
      </w:pPr>
    </w:p>
    <w:p>
      <w:pPr>
        <w:ind w:left="1300" w:hanging="644"/>
        <w:spacing w:after="0" w:line="207" w:lineRule="exact"/>
        <w:tabs>
          <w:tab w:leader="none" w:pos="1300" w:val="left"/>
        </w:tabs>
        <w:numPr>
          <w:ilvl w:val="1"/>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2"/>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([CUSIP: ]), or</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2"/>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 or</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1"/>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w:t>
      </w:r>
    </w:p>
    <w:p>
      <w:pPr>
        <w:spacing w:after="0" w:line="26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ONE]</w:t>
      </w:r>
    </w:p>
    <w:p>
      <w:pPr>
        <w:spacing w:after="0" w:line="184" w:lineRule="exact"/>
        <w:rPr>
          <w:sz w:val="20"/>
          <w:szCs w:val="20"/>
          <w:color w:val="auto"/>
        </w:rPr>
      </w:pPr>
    </w:p>
    <w:p>
      <w:pPr>
        <w:ind w:left="900" w:hanging="244"/>
        <w:spacing w:after="0" w:line="207" w:lineRule="exact"/>
        <w:tabs>
          <w:tab w:leader="none" w:pos="900" w:val="left"/>
        </w:tabs>
        <w:numPr>
          <w:ilvl w:val="0"/>
          <w:numId w:val="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1"/>
          <w:numId w:val="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([CUSIP: ]), or</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1"/>
          <w:numId w:val="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 or</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1"/>
          <w:numId w:val="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Unrestricted Global Note ([   ] [   ]), or</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 or</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Unrestricted Definitive Note, in accordance with the terms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191135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225425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KIMBERLY-CLARK CORPORATION</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$739,347,000 5.050% Senior Notes due 2028</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$846,989,000 5.000% Senior Notes due 2030</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$702,706,000 4.850% Senior Notes due 2032</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$1,152,617,000 4.900% Senior Notes due 2033</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$728,377,000 5.100% Senior Notes due 2043</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$1,478,073,000 5.050% Senior Notes due 2053</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$727,930,000 5.200% Senior Notes due 2063</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Dated as of November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188595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214630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694690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80" w:type="dxa"/>
            <w:vAlign w:val="bottom"/>
          </w:tcPr>
          <w:p>
            <w:pPr>
              <w:jc w:val="right"/>
              <w:ind w:right="4610"/>
              <w:spacing w:after="0"/>
              <w:rPr>
                <w:sz w:val="20"/>
                <w:szCs w:val="20"/>
                <w:color w:val="auto"/>
              </w:rPr>
            </w:pPr>
            <w:r>
              <w:rPr>
                <w:rFonts w:ascii="Times New Roman" w:cs="Times New Roman" w:eastAsia="Times New Roman" w:hAnsi="Times New Roman"/>
                <w:sz w:val="18"/>
                <w:szCs w:val="18"/>
                <w:color w:val="auto"/>
              </w:rPr>
              <w:t>TABLE OF CONTENTS</w:t>
            </w:r>
          </w:p>
        </w:tc>
      </w:tr>
      <w:tr>
        <w:trPr>
          <w:trHeight w:val="39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DEFINITIONS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39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EXCHANGE OFFER</w:t>
            </w:r>
          </w:p>
        </w:tc>
        <w:tc>
          <w:tcPr>
            <w:tcW w:w="7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90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SHELF REGISTRATION</w:t>
            </w:r>
          </w:p>
        </w:tc>
        <w:tc>
          <w:tcPr>
            <w:tcW w:w="2080" w:type="dxa"/>
            <w:vAlign w:val="bottom"/>
            <w:gridSpan w:val="6"/>
          </w:tcPr>
          <w:p>
            <w:pPr>
              <w:spacing w:after="0"/>
              <w:rPr>
                <w:sz w:val="17"/>
                <w:szCs w:val="17"/>
                <w:color w:val="auto"/>
              </w:rPr>
            </w:pPr>
          </w:p>
        </w:tc>
        <w:tc>
          <w:tcPr>
            <w:tcW w:w="7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39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ADDITIONAL INTEREST</w:t>
            </w:r>
          </w:p>
        </w:tc>
        <w:tc>
          <w:tcPr>
            <w:tcW w:w="7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52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8"/>
              </w:rPr>
              <w:t>REGISTRATION PROCEDURES</w:t>
            </w:r>
          </w:p>
        </w:tc>
        <w:tc>
          <w:tcPr>
            <w:tcW w:w="1460" w:type="dxa"/>
            <w:vAlign w:val="bottom"/>
            <w:gridSpan w:val="3"/>
          </w:tcPr>
          <w:p>
            <w:pPr>
              <w:spacing w:after="0"/>
              <w:rPr>
                <w:sz w:val="17"/>
                <w:szCs w:val="17"/>
                <w:color w:val="auto"/>
              </w:rPr>
            </w:pPr>
          </w:p>
        </w:tc>
        <w:tc>
          <w:tcPr>
            <w:tcW w:w="7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24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8"/>
              </w:rPr>
              <w:t>REGISTRATION EXPENSES</w:t>
            </w:r>
          </w:p>
        </w:tc>
        <w:tc>
          <w:tcPr>
            <w:tcW w:w="1740" w:type="dxa"/>
            <w:vAlign w:val="bottom"/>
            <w:gridSpan w:val="4"/>
          </w:tcPr>
          <w:p>
            <w:pPr>
              <w:spacing w:after="0"/>
              <w:rPr>
                <w:sz w:val="17"/>
                <w:szCs w:val="17"/>
                <w:color w:val="auto"/>
              </w:rPr>
            </w:pPr>
          </w:p>
        </w:tc>
        <w:tc>
          <w:tcPr>
            <w:tcW w:w="7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3440" w:type="dxa"/>
            <w:vAlign w:val="bottom"/>
            <w:tcBorders>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INDEMNIFICATION AND CONTRIBUTION</w:t>
            </w:r>
          </w:p>
        </w:tc>
        <w:tc>
          <w:tcPr>
            <w:tcW w:w="540" w:type="dxa"/>
            <w:vAlign w:val="bottom"/>
          </w:tcPr>
          <w:p>
            <w:pPr>
              <w:spacing w:after="0"/>
              <w:rPr>
                <w:sz w:val="17"/>
                <w:szCs w:val="17"/>
                <w:color w:val="auto"/>
              </w:rPr>
            </w:pPr>
          </w:p>
        </w:tc>
        <w:tc>
          <w:tcPr>
            <w:tcW w:w="7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39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RULE 144A</w:t>
            </w:r>
          </w:p>
        </w:tc>
        <w:tc>
          <w:tcPr>
            <w:tcW w:w="7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w:t>
            </w:r>
          </w:p>
        </w:tc>
        <w:tc>
          <w:tcPr>
            <w:tcW w:w="39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NO UNDERWRITTEN REGISTRATIONS</w:t>
            </w:r>
          </w:p>
        </w:tc>
        <w:tc>
          <w:tcPr>
            <w:tcW w:w="7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1560" w:type="dxa"/>
            <w:vAlign w:val="bottom"/>
            <w:gridSpan w:val="5"/>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96"/>
        </w:trPr>
        <w:tc>
          <w:tcPr>
            <w:tcW w:w="41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10. MISCELLANEOUS</w:t>
            </w:r>
          </w:p>
        </w:tc>
        <w:tc>
          <w:tcPr>
            <w:tcW w:w="7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696"/>
        </w:trPr>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3" w:name="page104"/>
    <w:bookmarkEnd w:id="103"/>
    <w:p>
      <w:pPr>
        <w:jc w:val="both"/>
        <w:ind w:right="220" w:firstLine="648"/>
        <w:spacing w:after="0" w:line="258" w:lineRule="auto"/>
        <w:rPr>
          <w:sz w:val="20"/>
          <w:szCs w:val="20"/>
          <w:color w:val="auto"/>
        </w:rPr>
      </w:pPr>
      <w:r>
        <w:rPr>
          <w:rFonts w:ascii="Times New Roman" w:cs="Times New Roman" w:eastAsia="Times New Roman" w:hAnsi="Times New Roman"/>
          <w:sz w:val="18"/>
          <w:szCs w:val="18"/>
          <w:color w:val="auto"/>
        </w:rPr>
        <w:t>THIS REGISTRATION RIGHTS AGREEMENT is dated as of November 4, 2026 (as amended, restated,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is entered into by and among Kimberly-Clark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J.P. Morgan Securities LLC, Citigroup Global Markets Inc. and Morgan Stanley &amp; Co. LLC, as lead dealer managers and lead solicitation agents (the “</w:t>
      </w:r>
      <w:r>
        <w:rPr>
          <w:rFonts w:ascii="Times New Roman" w:cs="Times New Roman" w:eastAsia="Times New Roman" w:hAnsi="Times New Roman"/>
          <w:sz w:val="18"/>
          <w:szCs w:val="18"/>
          <w:u w:val="single" w:color="auto"/>
          <w:color w:val="auto"/>
        </w:rPr>
        <w:t>Lead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Dealer Managers</w:t>
      </w:r>
      <w:r>
        <w:rPr>
          <w:rFonts w:ascii="Times New Roman" w:cs="Times New Roman" w:eastAsia="Times New Roman" w:hAnsi="Times New Roman"/>
          <w:sz w:val="18"/>
          <w:szCs w:val="18"/>
          <w:color w:val="auto"/>
        </w:rPr>
        <w:t>”), on behalf of themselves and the several co-dealer managers and co-solicitation agents named on Schedule I hereto (collectively, the “</w:t>
      </w:r>
      <w:r>
        <w:rPr>
          <w:rFonts w:ascii="Times New Roman" w:cs="Times New Roman" w:eastAsia="Times New Roman" w:hAnsi="Times New Roman"/>
          <w:sz w:val="18"/>
          <w:szCs w:val="18"/>
          <w:u w:val="single" w:color="auto"/>
          <w:color w:val="auto"/>
        </w:rPr>
        <w:t>Co-Dealer Managers</w:t>
      </w:r>
      <w:r>
        <w:rPr>
          <w:rFonts w:ascii="Times New Roman" w:cs="Times New Roman" w:eastAsia="Times New Roman" w:hAnsi="Times New Roman"/>
          <w:sz w:val="18"/>
          <w:szCs w:val="18"/>
          <w:color w:val="auto"/>
        </w:rPr>
        <w:t>” and, together with the Lead Dealer Managers, the “</w:t>
      </w:r>
      <w:r>
        <w:rPr>
          <w:rFonts w:ascii="Times New Roman" w:cs="Times New Roman" w:eastAsia="Times New Roman" w:hAnsi="Times New Roman"/>
          <w:sz w:val="18"/>
          <w:szCs w:val="18"/>
          <w:u w:val="single" w:color="auto"/>
          <w:color w:val="auto"/>
        </w:rPr>
        <w:t>Dealer Managers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Agreement is entered into in connection with the Dealer Manager Agreement, dated as of September 28, 2026 (as amended and supplemented by the Joinder to the Dealer Manager Agreement, dated October 19, 2026 and as further amended, restated, supplemented or otherwise modified from time to time, the “</w:t>
      </w:r>
      <w:r>
        <w:rPr>
          <w:rFonts w:ascii="Times New Roman" w:cs="Times New Roman" w:eastAsia="Times New Roman" w:hAnsi="Times New Roman"/>
          <w:sz w:val="18"/>
          <w:szCs w:val="18"/>
          <w:u w:val="single" w:color="auto"/>
          <w:color w:val="auto"/>
        </w:rPr>
        <w:t>Dealer Manager Agreement</w:t>
      </w:r>
      <w:r>
        <w:rPr>
          <w:rFonts w:ascii="Times New Roman" w:cs="Times New Roman" w:eastAsia="Times New Roman" w:hAnsi="Times New Roman"/>
          <w:sz w:val="18"/>
          <w:szCs w:val="18"/>
          <w:color w:val="auto"/>
        </w:rPr>
        <w:t>”), by and among the Company and the Dealer Managers, which provides for, among other things, the offers by the Company to exchange any and all of the outstanding senior notes (collectively, the “</w:t>
      </w:r>
      <w:r>
        <w:rPr>
          <w:rFonts w:ascii="Times New Roman" w:cs="Times New Roman" w:eastAsia="Times New Roman" w:hAnsi="Times New Roman"/>
          <w:sz w:val="18"/>
          <w:szCs w:val="18"/>
          <w:u w:val="single" w:color="auto"/>
          <w:color w:val="auto"/>
        </w:rPr>
        <w:t>Kenvue Notes</w:t>
      </w:r>
      <w:r>
        <w:rPr>
          <w:rFonts w:ascii="Times New Roman" w:cs="Times New Roman" w:eastAsia="Times New Roman" w:hAnsi="Times New Roman"/>
          <w:sz w:val="18"/>
          <w:szCs w:val="18"/>
          <w:color w:val="auto"/>
        </w:rPr>
        <w:t>”) issued by Kenvue Inc., a Delaware corporation (“</w:t>
      </w: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for consideration consisting of, with respect to each series of Kenvue Notes, newly issued senior notes of the Company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and cash. The Securities are issued under the First Amended and Restated Indenture, dated as of March 1, 1988 (as amended by the first, second and eighth supplemental indentures dated as of November 6, 1992, May 25, 1994 and October 27, 2021, respectively, and collectively,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between the Company and U.S. Bank Trust Company, National Association, a national banking association duly incorporated under the laws of the United States (as successor to the Bank of New York Mellon Trust Company, N.A.),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supplemented by the twelfth supplemental indenture, dated as of the Settlement Date (as defined herein)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In order to induce the Dealer Managers to enter into the Dealer Manager Agreement, the Company has agreed to provide the registration rights set forth in this Agreement for the benefit of the Dealer Managers and, except as otherwise set forth herein, any subsequent holder or holders of the Securities on the terms, and subject to the conditions, set forth herein.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hereby agree as follows:</w:t>
      </w:r>
    </w:p>
    <w:p>
      <w:pPr>
        <w:spacing w:after="0" w:line="221" w:lineRule="exact"/>
        <w:rPr>
          <w:sz w:val="20"/>
          <w:szCs w:val="20"/>
          <w:color w:val="auto"/>
        </w:rPr>
      </w:pPr>
    </w:p>
    <w:p>
      <w:pPr>
        <w:ind w:left="180" w:hanging="172"/>
        <w:spacing w:after="0"/>
        <w:tabs>
          <w:tab w:leader="none" w:pos="1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660" w:right="4340" w:hanging="4"/>
        <w:spacing w:after="0" w:line="500" w:lineRule="auto"/>
        <w:tabs>
          <w:tab w:leader="none" w:pos="89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Agreement, the following terms shall have the following meanings: </w:t>
      </w:r>
      <w:r>
        <w:rPr>
          <w:rFonts w:ascii="Times New Roman" w:cs="Times New Roman" w:eastAsia="Times New Roman" w:hAnsi="Times New Roman"/>
          <w:sz w:val="18"/>
          <w:szCs w:val="18"/>
          <w:u w:val="single" w:color="auto"/>
          <w:color w:val="auto"/>
        </w:rPr>
        <w:t>Additional Interest</w:t>
      </w:r>
      <w:r>
        <w:rPr>
          <w:rFonts w:ascii="Times New Roman" w:cs="Times New Roman" w:eastAsia="Times New Roman" w:hAnsi="Times New Roman"/>
          <w:sz w:val="18"/>
          <w:szCs w:val="18"/>
          <w:color w:val="auto"/>
        </w:rPr>
        <w:t>: See Section 4(a) hereof.</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Interest Event</w:t>
      </w:r>
      <w:r>
        <w:rPr>
          <w:rFonts w:ascii="Times New Roman" w:cs="Times New Roman" w:eastAsia="Times New Roman" w:hAnsi="Times New Roman"/>
          <w:sz w:val="18"/>
          <w:szCs w:val="18"/>
          <w:color w:val="auto"/>
        </w:rPr>
        <w:t>: See Section 4(a) hereof.</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See the last paragraph of Section 5 hereof.</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See the introductory paragraphs hereto.</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See Section 2(b) hereof.</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4" w:name="page105"/>
    <w:bookmarkEnd w:id="104"/>
    <w:p>
      <w:pPr>
        <w:ind w:left="660"/>
        <w:spacing w:after="0"/>
        <w:rPr>
          <w:sz w:val="20"/>
          <w:szCs w:val="20"/>
          <w:color w:val="auto"/>
        </w:rPr>
      </w:pP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have the meaning ascribed to such term in Rule 14d-1(g)(3) under the Exchange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Co-Dealer Managers</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Dealer Manager Agreement</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Dealer Managers</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See Section 3(a)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Securities Exchange Act of 1934, as amended, and the rules and regulations of the SEC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See Section 2(a)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Exchange Offer Registration Statement</w:t>
      </w:r>
      <w:r>
        <w:rPr>
          <w:rFonts w:ascii="Times New Roman" w:cs="Times New Roman" w:eastAsia="Times New Roman" w:hAnsi="Times New Roman"/>
          <w:sz w:val="18"/>
          <w:szCs w:val="18"/>
          <w:color w:val="auto"/>
        </w:rPr>
        <w:t>: See Section 2(a)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Exchange Securities</w:t>
      </w:r>
      <w:r>
        <w:rPr>
          <w:rFonts w:ascii="Times New Roman" w:cs="Times New Roman" w:eastAsia="Times New Roman" w:hAnsi="Times New Roman"/>
          <w:sz w:val="18"/>
          <w:szCs w:val="18"/>
          <w:color w:val="auto"/>
        </w:rPr>
        <w:t>: See Section 2(a) hereof.</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The merger of First Merger Sub with and into Kenvue, with Kenvue surviving as a direct wholly owned subsidiary of the Company, as contemplated by the Merger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First Merger Sub</w:t>
      </w:r>
      <w:r>
        <w:rPr>
          <w:rFonts w:ascii="Times New Roman" w:cs="Times New Roman" w:eastAsia="Times New Roman" w:hAnsi="Times New Roman"/>
          <w:sz w:val="18"/>
          <w:szCs w:val="18"/>
          <w:color w:val="auto"/>
        </w:rPr>
        <w:t>: Vesta Sub I, Inc., a Delaware corporation and a direct wholly owned subsidiary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Any holder of a Transfer Restricted Security or Transfer Restricted Securities, including, where applicable, each Participating Broker-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Kenvue Notes</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Lead Dealer Managers</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The Agreement and Plan of Merger, dated as of November 2, 2025, by and among Kenvue, the Company, First Merger Sub and Second Merger Sub, as it may be amended, supplemented or modified from time to time.</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05" w:name="page106"/>
    <w:bookmarkEnd w:id="105"/>
    <w:p>
      <w:pPr>
        <w:ind w:right="1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New Notes Registration Rights Agreement</w:t>
      </w:r>
      <w:r>
        <w:rPr>
          <w:rFonts w:ascii="Times New Roman" w:cs="Times New Roman" w:eastAsia="Times New Roman" w:hAnsi="Times New Roman"/>
          <w:sz w:val="18"/>
          <w:szCs w:val="18"/>
          <w:color w:val="auto"/>
        </w:rPr>
        <w:t>: The Registration Rights Agreement, dated as of October 29, 2026 (as amended, restated, supplemented or otherwise modified from time to time) among the Company and the Lead Dealer Managers, as representatives of the Initial Purchasers.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See Section 7(a)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Participating Broker-Dealer</w:t>
      </w:r>
      <w:r>
        <w:rPr>
          <w:rFonts w:ascii="Times New Roman" w:cs="Times New Roman" w:eastAsia="Times New Roman" w:hAnsi="Times New Roman"/>
          <w:sz w:val="18"/>
          <w:szCs w:val="18"/>
          <w:color w:val="auto"/>
        </w:rPr>
        <w:t>: See Section 2(b) hereof.</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 individual, trustee, corporation, partnership, limited liability company, joint stock company, trust, unincorporated association, union, business association, firm or other legal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Private Exchange</w:t>
      </w:r>
      <w:r>
        <w:rPr>
          <w:rFonts w:ascii="Times New Roman" w:cs="Times New Roman" w:eastAsia="Times New Roman" w:hAnsi="Times New Roman"/>
          <w:sz w:val="18"/>
          <w:szCs w:val="18"/>
          <w:color w:val="auto"/>
        </w:rPr>
        <w:t>: See Section 2(b)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Private Exchange Notes</w:t>
      </w:r>
      <w:r>
        <w:rPr>
          <w:rFonts w:ascii="Times New Roman" w:cs="Times New Roman" w:eastAsia="Times New Roman" w:hAnsi="Times New Roman"/>
          <w:sz w:val="18"/>
          <w:szCs w:val="18"/>
          <w:color w:val="auto"/>
        </w:rPr>
        <w:t>: See Section 2(b) hereof.</w:t>
      </w:r>
    </w:p>
    <w:p>
      <w:pPr>
        <w:spacing w:after="0" w:line="225"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prospectus included in any Registration Statement (including, without limitation, any prospectus subject to completion and a prospectus that includes any information previously omitted from a prospectus filed as part of an effective registration statement in reliance upon</w:t>
      </w:r>
    </w:p>
    <w:p>
      <w:pPr>
        <w:spacing w:after="0" w:line="255" w:lineRule="auto"/>
        <w:rPr>
          <w:sz w:val="20"/>
          <w:szCs w:val="20"/>
          <w:color w:val="auto"/>
        </w:rPr>
      </w:pPr>
      <w:r>
        <w:rPr>
          <w:rFonts w:ascii="Times New Roman" w:cs="Times New Roman" w:eastAsia="Times New Roman" w:hAnsi="Times New Roman"/>
          <w:sz w:val="18"/>
          <w:szCs w:val="18"/>
          <w:color w:val="auto"/>
        </w:rPr>
        <w:t>Rule 430A or Rule 430B under the Securities Act and any term sheet filed pursuant to Rule 433 under the Securities Act), as amended or supplemented by any prospectus supplement, and all other amendments and supplements to the Prospectus, including post-effective amendments, and all material incorporated by reference or deemed to be incorporated by reference in such prospectus.</w:t>
      </w:r>
    </w:p>
    <w:p>
      <w:pPr>
        <w:spacing w:after="0" w:line="18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Any registration statement of the Company that covers any of the Securities, the Exchange Securities or the Private Exchange Notes filed with the SEC under the Securities Act, including, in each case, the Prospectus, amendments and supplements to such registration statement, including post-effective amendments, all exhibits, and all material incorporated by reference or deemed to be incorporated by reference in such registration statement.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Rule 144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Rule 144A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Rule 405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Rule 415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Rule 424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U.S. Securities and Exchange Commission.</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18"/>
          <w:szCs w:val="18"/>
          <w:u w:val="single" w:color="auto"/>
          <w:color w:val="auto"/>
        </w:rPr>
        <w:t>Second Merger Sub</w:t>
      </w:r>
      <w:r>
        <w:rPr>
          <w:rFonts w:ascii="Times New Roman" w:cs="Times New Roman" w:eastAsia="Times New Roman" w:hAnsi="Times New Roman"/>
          <w:sz w:val="18"/>
          <w:szCs w:val="18"/>
          <w:color w:val="auto"/>
        </w:rPr>
        <w:t>: Vesta Sub II, LLC, a Delaware limited liability company and a direct wholly owned subsidiary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Securities Act of 1933, as amended, and the rules and regulations of the SEC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The date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Shelf Notice</w:t>
      </w:r>
      <w:r>
        <w:rPr>
          <w:rFonts w:ascii="Times New Roman" w:cs="Times New Roman" w:eastAsia="Times New Roman" w:hAnsi="Times New Roman"/>
          <w:sz w:val="18"/>
          <w:szCs w:val="18"/>
          <w:color w:val="auto"/>
        </w:rPr>
        <w:t>: See Section 2(c)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See Section 3(a)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Any Registration Statement relating to a Shelf Registration.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Shelf Suspension Period</w:t>
      </w:r>
      <w:r>
        <w:rPr>
          <w:rFonts w:ascii="Times New Roman" w:cs="Times New Roman" w:eastAsia="Times New Roman" w:hAnsi="Times New Roman"/>
          <w:sz w:val="18"/>
          <w:szCs w:val="18"/>
          <w:color w:val="auto"/>
        </w:rPr>
        <w:t>: See Section 3(a)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The Trust Indenture Act of 1939, as amended.</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Transfer Restricted Securities</w:t>
      </w:r>
      <w:r>
        <w:rPr>
          <w:rFonts w:ascii="Times New Roman" w:cs="Times New Roman" w:eastAsia="Times New Roman" w:hAnsi="Times New Roman"/>
          <w:sz w:val="18"/>
          <w:szCs w:val="18"/>
          <w:color w:val="auto"/>
        </w:rPr>
        <w:t>: Each Security upon its original issuance and at all times subsequent thereto, each Exchange Security as to which Section 2(c)(ii) hereof is applicable upon original issuance and at all times subsequent thereto and each Private Exchange Note upon original issuance thereof and at all times subsequent thereto, until, in each case, the earliest to occur of (i) a Registration Statement (other than, with respect to any Exchange Securities as to which Section 2(c)(ii) hereof is applicable, the Exchange Offer Registration Statement) covering such Security, Exchange Security or Private Exchange Note has been declared effective by the SEC and such Security, Exchange Security or such Private Exchange Note, as the case may be, has been disposed of in accordance with such effective Registration Statement, (ii) such Security has been exchanged pursuant to the Exchange Offer for an Exchange Security or Exchange Securities that may be resold without restriction under state and federal securities laws, (iii) such Security, Exchange Security or Private Exchange Note, as the case may be, ceases to be outstanding for purposes of the Indenture or (iv) the date which is three and a half years after the date the Securities were originally issued.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The trustee under the Indenture and the trustee under any indenture (if different) governing the Exchange Securities and Private Exchange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Underwritten registration or underwritten offering</w:t>
      </w:r>
      <w:r>
        <w:rPr>
          <w:rFonts w:ascii="Times New Roman" w:cs="Times New Roman" w:eastAsia="Times New Roman" w:hAnsi="Times New Roman"/>
          <w:sz w:val="18"/>
          <w:szCs w:val="18"/>
          <w:color w:val="auto"/>
        </w:rPr>
        <w:t>: A registration in which securities of the Company are sold to one or more underwriters for reoffering to the public.</w:t>
      </w:r>
    </w:p>
    <w:p>
      <w:pPr>
        <w:spacing w:after="0" w:line="162" w:lineRule="exact"/>
        <w:rPr>
          <w:sz w:val="20"/>
          <w:szCs w:val="20"/>
          <w:color w:val="auto"/>
        </w:rPr>
      </w:pPr>
    </w:p>
    <w:p>
      <w:pPr>
        <w:ind w:right="100" w:firstLine="656"/>
        <w:spacing w:after="0" w:line="261" w:lineRule="auto"/>
        <w:tabs>
          <w:tab w:leader="none" w:pos="9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provided, all references in this Agreement to acts, laws, statutes, rules, regulations, releases, forms, no-action letters and other regulatory requirements (collectively, “</w:t>
      </w:r>
      <w:r>
        <w:rPr>
          <w:rFonts w:ascii="Times New Roman" w:cs="Times New Roman" w:eastAsia="Times New Roman" w:hAnsi="Times New Roman"/>
          <w:sz w:val="18"/>
          <w:szCs w:val="18"/>
          <w:u w:val="single" w:color="auto"/>
          <w:color w:val="auto"/>
        </w:rPr>
        <w:t>Regulatory Requirements</w:t>
      </w:r>
      <w:r>
        <w:rPr>
          <w:rFonts w:ascii="Times New Roman" w:cs="Times New Roman" w:eastAsia="Times New Roman" w:hAnsi="Times New Roman"/>
          <w:sz w:val="18"/>
          <w:szCs w:val="18"/>
          <w:color w:val="auto"/>
        </w:rPr>
        <w:t xml:space="preserve">”) shall be deemed to refer also to any amendments thereto and all subsequent Regulatory Requirements adopted as a replacement thereto having substantially the same effect therewith;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Rule 144 shall not be deemed to amend or replace Rule 144A.</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7" w:name="page108"/>
    <w:bookmarkEnd w:id="107"/>
    <w:p>
      <w:pPr>
        <w:ind w:left="180" w:hanging="172"/>
        <w:spacing w:after="0"/>
        <w:tabs>
          <w:tab w:leader="none" w:pos="1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EXCHANGE OFFER</w:t>
      </w:r>
    </w:p>
    <w:p>
      <w:pPr>
        <w:spacing w:after="0" w:line="229" w:lineRule="exact"/>
        <w:rPr>
          <w:rFonts w:ascii="Times New Roman" w:cs="Times New Roman" w:eastAsia="Times New Roman" w:hAnsi="Times New Roman"/>
          <w:sz w:val="18"/>
          <w:szCs w:val="18"/>
          <w:b w:val="1"/>
          <w:bCs w:val="1"/>
          <w:color w:val="auto"/>
        </w:rPr>
      </w:pPr>
    </w:p>
    <w:p>
      <w:pPr>
        <w:ind w:right="60" w:firstLine="656"/>
        <w:spacing w:after="0" w:line="254" w:lineRule="auto"/>
        <w:tabs>
          <w:tab w:leader="none" w:pos="89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Exchange Offer would violate applicable law or any applicable interpretation of the staff of the SEC, the Company shall, at its expense, for the benefit of the Holders, use its commercially reasonable efforts to prepare and file with the SEC a Registration Statement on an appropriate registration form (an “</w:t>
      </w:r>
      <w:r>
        <w:rPr>
          <w:rFonts w:ascii="Times New Roman" w:cs="Times New Roman" w:eastAsia="Times New Roman" w:hAnsi="Times New Roman"/>
          <w:sz w:val="18"/>
          <w:szCs w:val="18"/>
          <w:u w:val="single" w:color="auto"/>
          <w:color w:val="auto"/>
        </w:rPr>
        <w:t>Exchange Offer Registration Statement</w:t>
      </w:r>
      <w:r>
        <w:rPr>
          <w:rFonts w:ascii="Times New Roman" w:cs="Times New Roman" w:eastAsia="Times New Roman" w:hAnsi="Times New Roman"/>
          <w:sz w:val="18"/>
          <w:szCs w:val="18"/>
          <w:color w:val="auto"/>
        </w:rPr>
        <w:t>”) with respect to a registered offer (the “</w:t>
      </w: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to exchange any and all of the Transfer Restricted Securities for a like aggregate principal amount of debt securities of the same series of the Company (such debt securities, the “</w:t>
      </w:r>
      <w:r>
        <w:rPr>
          <w:rFonts w:ascii="Times New Roman" w:cs="Times New Roman" w:eastAsia="Times New Roman" w:hAnsi="Times New Roman"/>
          <w:sz w:val="18"/>
          <w:szCs w:val="18"/>
          <w:u w:val="single" w:color="auto"/>
          <w:color w:val="auto"/>
        </w:rPr>
        <w:t>Exchange Securities</w:t>
      </w:r>
      <w:r>
        <w:rPr>
          <w:rFonts w:ascii="Times New Roman" w:cs="Times New Roman" w:eastAsia="Times New Roman" w:hAnsi="Times New Roman"/>
          <w:sz w:val="18"/>
          <w:szCs w:val="18"/>
          <w:color w:val="auto"/>
        </w:rPr>
        <w:t>”), that are substantially identical in all material respects to the applicable series of Securities, except that the Exchange Securities</w:t>
      </w:r>
    </w:p>
    <w:p>
      <w:pPr>
        <w:spacing w:after="0" w:line="3"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shall contain no restrictive legend thereon, (ii) shall accrue interest from (A) the later of (x) the last interest payment date on which interest was paid on such Securities or (y) if such Securities are surrendered for exchange on a date in a period that includes the record date for an interest payment date to occur on or after the date of such exchange and as to which interest will be paid, the date of such interest payment date or (B) if no interest has been paid on such Securities, from the Settlement Date, (iii) shall not contain provisions for the Additional Interest contemplated in Section 4 below, and (iv) shall be entitled to the benefits of the Indenture or a trust indenture which is identical in all material respects to the Indenture (other than such changes to the Indenture or any such identical trust indenture as are necessary to comply with the TIA) and which, in either case, has been qualified under the TIA. The Company shall use its commercially reasonable efforts to cause the Exchange Offer Registration Statement to be declared effective under the Securities Act. Promptly after the Exchange Offer Registration Statement is declared effective, the Company shall commence the Exchange Offer. The Exchange Offer shall comply with all applicable tender offer rules and regulations under the Exchange Act and other applicable federal and state securities laws. The Company shall use commercially reasonable efforts to (x) keep the Exchange Offer open for at least 20 Business Days (or such shorter or longer time period as may be required by applicable law at such time) after the date that notice of the Exchange Offer is transmitted to Holders and (y) consummate the Exchange Offer on or prior to the 365th day following the Settlement Date.</w:t>
      </w:r>
    </w:p>
    <w:p>
      <w:pPr>
        <w:spacing w:after="0" w:line="192"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Each Holder (including, without limitation, each Participating Broker-Dealer) that participates in the Exchange Offer, as a condition to participation in the Exchange Offer and consummation by the Company of the Exchange Offer, will be required to represent to the Company in writing (which may be contained in the applicable letter of transmittal) substantially to the effect that: (i) any Exchange Securities acquired in exchange for Transfer Restricted Securities tendered are being acquired in the ordinary course of business of the Person receiving such Exchange Securities, whether or not such recipient is such Holder itself; (ii) at the time of the commencement or consummation of the Exchange Offer, neither such Holder nor, to the knowledge of such Holder, any other Person receiving Exchange Securities from such Holder has an arrangement or understanding with any Person to participate in the distribution (within the meaning of the Securities Act) of the Exchange Securities in violation of the provisions of the Securities Act;</w:t>
      </w:r>
    </w:p>
    <w:p>
      <w:pPr>
        <w:spacing w:after="0" w:line="3" w:lineRule="exact"/>
        <w:rPr>
          <w:sz w:val="20"/>
          <w:szCs w:val="20"/>
          <w:color w:val="auto"/>
        </w:rPr>
      </w:pPr>
    </w:p>
    <w:p>
      <w:pPr>
        <w:ind w:firstLine="8"/>
        <w:spacing w:after="0" w:line="252" w:lineRule="auto"/>
        <w:tabs>
          <w:tab w:leader="none" w:pos="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such Holder nor, to the knowledge of such Holder, any other Person receiving Exchange Securities from such Holder is an “affiliate” (as defined in Rule 405) of the Company; (iv) if such Holder is not a broker-dealer, neither such Holder nor, to the knowledge of such Holder, any other Person receiving Exchange Securities from such Holder is engaging, or intends to engage, in a distribution of the Exchange Securities; and (v) if such Holder is a Participating Broker-Dealer, such Holder has acquired the Transfer Restricted Securities for its own account in exchange for Securities that were acquired as a result of market-making activities or other trading activities and will comply with the applicable provisions of the Securities Act (including, but not limited to, the prospectus delivery requirements thereunder). In addition, all Holders of Transfer Restricted Securities shall otherwise cooperate in the Company’s preparations for the Exchange Offer.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8" w:name="page109"/>
    <w:bookmarkEnd w:id="108"/>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Upon consummation of the Exchange Offer in accordance with this Section 2, the provisions of this Agreement shall continue to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solely with respect to Transfer Restricted Securities that are Private Exchange Notes, Exchange Securities as to which Section 2(c)(ii) hereof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and Exchange Securities held by Participating Broker-Dealers, and the Company shall have no further obligation to register Transfer Restricted Securities (other than Private Exchange Notes and Exchange Securities as to which Section 2(c)(ii) hereof applies) pursuant to Section 3 hereof. No securities other than the Exchange Securities shall be included in the Exchange Offer Registration Statement.</w:t>
      </w:r>
    </w:p>
    <w:p>
      <w:pPr>
        <w:spacing w:after="0" w:line="185" w:lineRule="exact"/>
        <w:rPr>
          <w:sz w:val="20"/>
          <w:szCs w:val="20"/>
          <w:color w:val="auto"/>
        </w:rPr>
      </w:pPr>
    </w:p>
    <w:p>
      <w:pPr>
        <w:ind w:right="20" w:firstLine="656"/>
        <w:spacing w:after="0" w:line="25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include within the Prospectus contained in the Exchange Offer Registration Statement a section entitled “</w:t>
      </w:r>
      <w:r>
        <w:rPr>
          <w:rFonts w:ascii="Times New Roman" w:cs="Times New Roman" w:eastAsia="Times New Roman" w:hAnsi="Times New Roman"/>
          <w:sz w:val="18"/>
          <w:szCs w:val="18"/>
          <w:u w:val="single" w:color="auto"/>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which shall contain a summary statement of the positions taken or policies made by the staff of the SEC with respect to the potential “underwriter” status of any broker-dealer that is the “beneficial owner” (as defined in Rule 13d-3 under the Exchange Act) of Exchange Securities received by such broker-dealer in the Exchange Offer (a “</w:t>
      </w:r>
      <w:r>
        <w:rPr>
          <w:rFonts w:ascii="Times New Roman" w:cs="Times New Roman" w:eastAsia="Times New Roman" w:hAnsi="Times New Roman"/>
          <w:sz w:val="18"/>
          <w:szCs w:val="18"/>
          <w:u w:val="single" w:color="auto"/>
          <w:color w:val="auto"/>
        </w:rPr>
        <w:t>Participating Broker-Dealer</w:t>
      </w:r>
      <w:r>
        <w:rPr>
          <w:rFonts w:ascii="Times New Roman" w:cs="Times New Roman" w:eastAsia="Times New Roman" w:hAnsi="Times New Roman"/>
          <w:sz w:val="18"/>
          <w:szCs w:val="18"/>
          <w:color w:val="auto"/>
        </w:rPr>
        <w:t>”), whether such positions or policies have been publicly disseminated by the staff of the SEC or such positions or policies represent the prevailing views of the staff of the SEC. Such “Plan of Distribution” section shall also expressly permit, to the extent permitted by applicable policies and regulations of the SEC, the use of the Prospectus by all Participating Broker-Dealers, and include a statement describing the means by which Participating Broker-Dealers may resell the Exchange Securities in compliance with the Securities Act.</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shall use its commercially reasonable efforts to keep the Exchange Offer Registration Statement effective and to amend and supplement the Prospectus contained therein in order to permit such Prospectus to be lawfully delivered by all Persons subject to the prospectus delivery requirements of the Securities Act for such period of time as is necessary to comply with applicable law in connection with any resale of the Exchange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period shall not be required to exceed 90 days after the date on which the Exchange Offer Registration Statement is declared effective, as such period is extended, if at all, pursuant to the last paragraph of Section 5 hereof (the “</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If, immediately prior to the consummation of the Exchange Offer, the Dealer Managers hold any Securities acquired by them that have the status of an unsold allotment in the initial distribution, the Company, upon the written request of the Dealer Managers, may, but shall not be obligated to, simultaneously with the delivery of the Exchange Securities, issue and deliver to the Dealer Managers, in exchange (the “</w:t>
      </w:r>
      <w:r>
        <w:rPr>
          <w:rFonts w:ascii="Times New Roman" w:cs="Times New Roman" w:eastAsia="Times New Roman" w:hAnsi="Times New Roman"/>
          <w:sz w:val="18"/>
          <w:szCs w:val="18"/>
          <w:u w:val="single" w:color="auto"/>
          <w:color w:val="auto"/>
        </w:rPr>
        <w:t>Private Exchange</w:t>
      </w:r>
      <w:r>
        <w:rPr>
          <w:rFonts w:ascii="Times New Roman" w:cs="Times New Roman" w:eastAsia="Times New Roman" w:hAnsi="Times New Roman"/>
          <w:sz w:val="18"/>
          <w:szCs w:val="18"/>
          <w:color w:val="auto"/>
        </w:rPr>
        <w:t>”) for such Securities held by any such Dealer Manager, a like principal amount of notes of the Company (the “</w:t>
      </w:r>
      <w:r>
        <w:rPr>
          <w:rFonts w:ascii="Times New Roman" w:cs="Times New Roman" w:eastAsia="Times New Roman" w:hAnsi="Times New Roman"/>
          <w:sz w:val="18"/>
          <w:szCs w:val="18"/>
          <w:u w:val="single" w:color="auto"/>
          <w:color w:val="auto"/>
        </w:rPr>
        <w:t>Private Exchange Notes</w:t>
      </w:r>
      <w:r>
        <w:rPr>
          <w:rFonts w:ascii="Times New Roman" w:cs="Times New Roman" w:eastAsia="Times New Roman" w:hAnsi="Times New Roman"/>
          <w:sz w:val="18"/>
          <w:szCs w:val="18"/>
          <w:color w:val="auto"/>
        </w:rPr>
        <w:t>”), that are identical in all material respects to the Exchange Securities except for the placement of a restrictive legend on such Private Exchange Notes. The Private Exchange Notes shall be issued pursuant to the same indenture as the Exchange Securities and bear the same CUSIP number as the Exchange Securities if permitted by the CUSIP Service Bureau.</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09" w:name="page110"/>
    <w:bookmarkEnd w:id="109"/>
    <w:p>
      <w:pPr>
        <w:ind w:left="440"/>
        <w:spacing w:after="0"/>
        <w:rPr>
          <w:sz w:val="20"/>
          <w:szCs w:val="20"/>
          <w:color w:val="auto"/>
        </w:rPr>
      </w:pPr>
      <w:r>
        <w:rPr>
          <w:rFonts w:ascii="Times New Roman" w:cs="Times New Roman" w:eastAsia="Times New Roman" w:hAnsi="Times New Roman"/>
          <w:sz w:val="18"/>
          <w:szCs w:val="18"/>
          <w:color w:val="auto"/>
        </w:rPr>
        <w:t>In connection with the Exchange Offer, the Company shall:</w:t>
      </w:r>
    </w:p>
    <w:p>
      <w:pPr>
        <w:spacing w:after="0" w:line="225" w:lineRule="exact"/>
        <w:rPr>
          <w:sz w:val="20"/>
          <w:szCs w:val="20"/>
          <w:color w:val="auto"/>
        </w:rPr>
      </w:pPr>
    </w:p>
    <w:p>
      <w:pPr>
        <w:ind w:left="-220" w:right="60" w:firstLine="656"/>
        <w:spacing w:after="0" w:line="282" w:lineRule="auto"/>
        <w:tabs>
          <w:tab w:leader="none" w:pos="68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to each Holder of record entitled to participate in the Exchange Offer a copy of the Prospectus forming part of the Exchange Offer Registration Statement, together with an appropriate letter of transmittal and related documents;</w:t>
      </w:r>
    </w:p>
    <w:p>
      <w:pPr>
        <w:spacing w:after="0" w:line="161" w:lineRule="exact"/>
        <w:rPr>
          <w:rFonts w:ascii="Times New Roman" w:cs="Times New Roman" w:eastAsia="Times New Roman" w:hAnsi="Times New Roman"/>
          <w:sz w:val="18"/>
          <w:szCs w:val="18"/>
          <w:color w:val="auto"/>
        </w:rPr>
      </w:pPr>
    </w:p>
    <w:p>
      <w:pPr>
        <w:ind w:left="-220" w:right="140" w:firstLine="656"/>
        <w:spacing w:after="0" w:line="282" w:lineRule="auto"/>
        <w:tabs>
          <w:tab w:leader="none" w:pos="68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keep the Exchange Offer open for not less than 20 Business Days (or such shorter or longer time period as may be required by applicable law at such time) after the date that notice of the Exchange Offer is transmitted to Holders;</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the services of a depositary for the Exchange Offer with an address in the United States;</w:t>
      </w:r>
    </w:p>
    <w:p>
      <w:pPr>
        <w:spacing w:after="0" w:line="225" w:lineRule="exact"/>
        <w:rPr>
          <w:rFonts w:ascii="Times New Roman" w:cs="Times New Roman" w:eastAsia="Times New Roman" w:hAnsi="Times New Roman"/>
          <w:sz w:val="18"/>
          <w:szCs w:val="18"/>
          <w:color w:val="auto"/>
        </w:rPr>
      </w:pPr>
    </w:p>
    <w:p>
      <w:pPr>
        <w:ind w:left="-220" w:firstLine="656"/>
        <w:spacing w:after="0" w:line="282" w:lineRule="auto"/>
        <w:tabs>
          <w:tab w:leader="none" w:pos="68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Holders to withdraw tendered Securities at any time prior to the close of business, New York time, on the last Business Day on which the Exchange Offer remains open;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in all material respects with all laws, rules and regulations applicable to the Exchange Offer.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soon as reasonably practicable after the close of the Exchange Offer and any Private Exchange, the Company shall:</w:t>
      </w:r>
    </w:p>
    <w:p>
      <w:pPr>
        <w:spacing w:after="0" w:line="225" w:lineRule="exact"/>
        <w:rPr>
          <w:sz w:val="20"/>
          <w:szCs w:val="20"/>
          <w:color w:val="auto"/>
        </w:rPr>
      </w:pPr>
    </w:p>
    <w:p>
      <w:pPr>
        <w:ind w:left="-220" w:right="240" w:firstLine="656"/>
        <w:spacing w:after="0" w:line="282" w:lineRule="auto"/>
        <w:tabs>
          <w:tab w:leader="none" w:pos="68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exchange all Transfer Restricted Securities validly tendered and not validly withdrawn pursuant to the Exchange Offer and any Private Exchange;</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for cancellation all Transfer Restricted Securities so accepted for exchange; and</w:t>
      </w:r>
    </w:p>
    <w:p>
      <w:pPr>
        <w:spacing w:after="0" w:line="225" w:lineRule="exact"/>
        <w:rPr>
          <w:rFonts w:ascii="Times New Roman" w:cs="Times New Roman" w:eastAsia="Times New Roman" w:hAnsi="Times New Roman"/>
          <w:sz w:val="18"/>
          <w:szCs w:val="18"/>
          <w:color w:val="auto"/>
        </w:rPr>
      </w:pPr>
    </w:p>
    <w:p>
      <w:pPr>
        <w:ind w:left="-220" w:right="20" w:firstLine="656"/>
        <w:spacing w:after="0" w:line="261" w:lineRule="auto"/>
        <w:tabs>
          <w:tab w:leader="none" w:pos="68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the Trustee to authenticate and deliver promptly to each Holder Exchange Securities or Private Exchange Notes, as the case may be, equal in principal amount to the Securities of such Holder so accepted for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Securities held in global form by a depositary, authentication and delivery to such depositary of one or more replacement Securities in global form in an equivalent principal amount thereto for the account of such Holders in accordance with the Indenture shall satisfy such authentication and delivery requirement.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540" w:top="904" w:right="539" w:bottom="1440" w:gutter="0" w:footer="0" w:header="0"/>
        </w:sectPr>
      </w:pPr>
    </w:p>
    <w:bookmarkStart w:id="110" w:name="page111"/>
    <w:bookmarkEnd w:id="110"/>
    <w:p>
      <w:pPr>
        <w:ind w:firstLine="648"/>
        <w:spacing w:after="0" w:line="254" w:lineRule="auto"/>
        <w:rPr>
          <w:sz w:val="20"/>
          <w:szCs w:val="20"/>
          <w:color w:val="auto"/>
        </w:rPr>
      </w:pPr>
      <w:r>
        <w:rPr>
          <w:rFonts w:ascii="Times New Roman" w:cs="Times New Roman" w:eastAsia="Times New Roman" w:hAnsi="Times New Roman"/>
          <w:sz w:val="18"/>
          <w:szCs w:val="18"/>
          <w:color w:val="auto"/>
        </w:rPr>
        <w:t>The Exchange Offer and the Private Exchange shall not be subject to any conditions, other than that (i) the Exchange Offer or Private Exchange, as the case may be, does not violate applicable law or any applicable interpretation of the staff of the SEC; (ii) no action or proceeding shall have been instituted or threatened in any court or by or before any governmental agency which, in the Company’s judgment, might materially impair the ability of the Company to proceed with the Exchange Offer or the Private Exchange and, in the Company’s judgment, no material adverse development shall have occurred in any existing action or proceeding with respect to the Company; (iii) all governmental approvals shall have been obtained, which approvals the Company deems necessary for the consummation of the Exchange Offer or Private Exchange; and (iv) the accuracy of customary representations of the Holders and other representations (including, but not limited to, those set forth in Section 2(a)) as may reasonably be necessary under applicable SEC rules, regulations or interpretations, the satisfaction by the Holders of customary conditions relating to the delivery of Securities and the execution and delivery of customary documentation relating to the Exchange Offer or Private Exchange, as applicable.</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Exchange Securities and the Private Exchange Notes shall be issued under (i) the Indenture or (ii) an indenture substantially identical in all material respects to the Indenture and which, in either case, has been qualified under the TIA or is exempt from such qualification and shall provide that the Exchange Securities shall not be subject to the transfer restrictions set forth in the Indenture. The Indenture or such other indenture shall provide that the Exchange Securities, the Private Exchange Notes and the Securities shall vote and consent together on all matters as one class and that none of the Exchange Securities, the Private Exchange Notes or the Securities will have the right to vote or consent as a separate class on any matter.</w:t>
      </w:r>
    </w:p>
    <w:p>
      <w:pPr>
        <w:spacing w:after="0" w:line="183" w:lineRule="exact"/>
        <w:rPr>
          <w:sz w:val="20"/>
          <w:szCs w:val="20"/>
          <w:color w:val="auto"/>
        </w:rPr>
      </w:pPr>
    </w:p>
    <w:p>
      <w:pPr>
        <w:jc w:val="both"/>
        <w:ind w:right="160" w:firstLine="656"/>
        <w:spacing w:after="0" w:line="272" w:lineRule="auto"/>
        <w:tabs>
          <w:tab w:leader="none" w:pos="893"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the Exchange Offer is not completed within 365 days after the Settlement Date, or (ii) following the 365th day after the Settlement Date (but in any event no later than 20 days after the consummation of the Exchange Offer) the Company receives a written request from any Dealer Manager representing that it holds Transfer Restricted Securities that are or were ineligible to be exchanged in the Exchange Offer, in the case of each of clauses</w:t>
      </w:r>
    </w:p>
    <w:p>
      <w:pPr>
        <w:spacing w:after="0" w:line="1" w:lineRule="exact"/>
        <w:rPr>
          <w:rFonts w:ascii="Times New Roman" w:cs="Times New Roman" w:eastAsia="Times New Roman" w:hAnsi="Times New Roman"/>
          <w:sz w:val="17"/>
          <w:szCs w:val="17"/>
          <w:color w:val="auto"/>
        </w:rPr>
      </w:pPr>
    </w:p>
    <w:p>
      <w:pPr>
        <w:ind w:right="240" w:firstLine="8"/>
        <w:spacing w:after="0" w:line="260" w:lineRule="auto"/>
        <w:tabs>
          <w:tab w:leader="none" w:pos="2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of this sentence, then the Company shall promptly deliver to the Trustee (to deliver to the Holders) written notice thereof (the “</w:t>
      </w:r>
      <w:r>
        <w:rPr>
          <w:rFonts w:ascii="Times New Roman" w:cs="Times New Roman" w:eastAsia="Times New Roman" w:hAnsi="Times New Roman"/>
          <w:sz w:val="18"/>
          <w:szCs w:val="18"/>
          <w:u w:val="single" w:color="auto"/>
          <w:color w:val="auto"/>
        </w:rPr>
        <w:t>Shelf Notice</w:t>
      </w:r>
      <w:r>
        <w:rPr>
          <w:rFonts w:ascii="Times New Roman" w:cs="Times New Roman" w:eastAsia="Times New Roman" w:hAnsi="Times New Roman"/>
          <w:sz w:val="18"/>
          <w:szCs w:val="18"/>
          <w:color w:val="auto"/>
        </w:rPr>
        <w:t>”) and shall use commercially reasonable efforts to file a Shelf Registration pursuant to Section 3 hereof.</w:t>
      </w:r>
    </w:p>
    <w:p>
      <w:pPr>
        <w:spacing w:after="0" w:line="177" w:lineRule="exact"/>
        <w:rPr>
          <w:sz w:val="20"/>
          <w:szCs w:val="20"/>
          <w:color w:val="auto"/>
        </w:rPr>
      </w:pPr>
    </w:p>
    <w:p>
      <w:pPr>
        <w:ind w:left="180" w:hanging="172"/>
        <w:spacing w:after="0"/>
        <w:tabs>
          <w:tab w:leader="none" w:pos="1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SHELF REGISTRATION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at any time a Shelf Notice is delivered as contemplated by Section 2(c) hereof, then:</w:t>
      </w:r>
    </w:p>
    <w:p>
      <w:pPr>
        <w:spacing w:after="0" w:line="225" w:lineRule="exact"/>
        <w:rPr>
          <w:sz w:val="20"/>
          <w:szCs w:val="20"/>
          <w:color w:val="auto"/>
        </w:rPr>
      </w:pPr>
    </w:p>
    <w:p>
      <w:pPr>
        <w:ind w:firstLine="656"/>
        <w:spacing w:after="0" w:line="255" w:lineRule="auto"/>
        <w:tabs>
          <w:tab w:leader="none" w:pos="89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The Company shall, at its expense, use its commercially reasonable efforts to file with the SEC a Registration Statement for an offering to be made on a continuous basis pursuant to Rule 415 covering all of the Transfer Restricted Securities (the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xml:space="preserve">”) as soon as practicable after the filing obligation described in such Shelf Notice arises;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nothing in this Section 3(a) shall require the Company to file the Shelf Registration Statement prior to the deadline for filing the Exchange Offer Registration Statement set forth in Section 2(a) and</w:t>
      </w:r>
    </w:p>
    <w:p>
      <w:pPr>
        <w:spacing w:after="0" w:line="2" w:lineRule="exact"/>
        <w:rPr>
          <w:rFonts w:ascii="Times New Roman" w:cs="Times New Roman" w:eastAsia="Times New Roman" w:hAnsi="Times New Roman"/>
          <w:sz w:val="18"/>
          <w:szCs w:val="18"/>
          <w:color w:val="auto"/>
        </w:rPr>
      </w:pPr>
    </w:p>
    <w:p>
      <w:pPr>
        <w:ind w:right="40" w:firstLine="8"/>
        <w:spacing w:after="0" w:line="251" w:lineRule="auto"/>
        <w:tabs>
          <w:tab w:leader="none" w:pos="2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Exchange Offer is consummated within 365 days after the Settlement Date, the Company shall not have any obligation to file the Shelf Registration Statement pursuant to this Section 3. The Shelf Registration shall be on Form S-3 or another appropriate form permitting registration of such Transfer Restricted Securities for resale by Holders in the manner or manners designated by them. Notwithstanding anything to the contrary herein, no Holder shall be entitled to be named as a selling security holder in the Shelf Registration Statement or to use the Prospectus forming a part thereof for resales of Transfer Restricted Securities unless such Holder has signed and returned to the Company a notice and questionnaire as distributed by the Company consenting to such Holder’s inclusion in the Prospectus as a selling security holder, evidencing such Holder’s agreement to be bound by the applicable provisions of this Agreement and providing such further information to the Company as the Company may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required to name any Holder as a selling security holder in any Shelf Registration Statement or Prospectus unless such Holder has returned the completed notice and questionnaire at least five Business Days prior to the anticipated filing date of such Shelf Registration Statement or Prospectus.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1" w:name="page112"/>
    <w:bookmarkEnd w:id="111"/>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shall use commercially reasonable efforts to cause the Shelf Registration to be declared effective under the Securities Act within 365 days after the date, if any, on which the Company became obligated to file the Shelf Registration Statement and to keep the Shelf Registration continuously effective under the Securities Act until the date upon which all Transfer Restricted Securities eligible to be sold thereunder have been sold pursuant to the Shelf Registration Statement or are freely tradeable pursuant to Rule 144 under the Securities Act and the applicable interpretations of the SEC or cease to be outstanding or otherwise to be Transfer Restricted Securities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Notwithstanding anything to the contrary in this Agreement, at any time, the Company may delay the filing of any Shelf Registration or delay or suspend the effectiveness thereof, for a reasonable period of time (each, a “</w:t>
      </w:r>
      <w:r>
        <w:rPr>
          <w:rFonts w:ascii="Times New Roman" w:cs="Times New Roman" w:eastAsia="Times New Roman" w:hAnsi="Times New Roman"/>
          <w:sz w:val="18"/>
          <w:szCs w:val="18"/>
          <w:u w:val="single" w:color="auto"/>
          <w:color w:val="auto"/>
        </w:rPr>
        <w:t>Shelf Suspension Period</w:t>
      </w:r>
      <w:r>
        <w:rPr>
          <w:rFonts w:ascii="Times New Roman" w:cs="Times New Roman" w:eastAsia="Times New Roman" w:hAnsi="Times New Roman"/>
          <w:sz w:val="18"/>
          <w:szCs w:val="18"/>
          <w:color w:val="auto"/>
        </w:rPr>
        <w:t xml:space="preserve">”), if the Chief Financial Officer of the Company determines reasonably and in good faith that the filing of the Shelf Registration or the continuing effectiveness thereof would require the disclosure of non-public material information that, in the reasonable judgment of the Board of Directors of the Company, would be detrimental to the Company if so disclosed or would otherwise materially adversely affect a financing, acquisition, disposition, merger or other material transaction or such action is required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Company be required to disclose the business purpose for such delay or suspension. Each Holder receiving notice of any Shelf Suspension Period shall treat such notice (and the existence and contents thereof) as confidential, shall not use such information for any purpose, shall not trade in any Securities of the Company while aware of such information unless and until such information becomes public or ceases to be material and shall not disclose such information to any Person, except to the extent such disclosure is required by legal process. Any Shelf Suspension Period pursuant to this Section 3(a) shall begin on the date specified in a written notice given by the Company to the Holders and shall end on the date specified in a subsequent written notice given by the Company to the Holders.</w:t>
      </w:r>
    </w:p>
    <w:p>
      <w:pPr>
        <w:spacing w:after="0" w:line="195" w:lineRule="exact"/>
        <w:rPr>
          <w:sz w:val="20"/>
          <w:szCs w:val="20"/>
          <w:color w:val="auto"/>
        </w:rPr>
      </w:pPr>
    </w:p>
    <w:p>
      <w:pPr>
        <w:ind w:right="220" w:firstLine="656"/>
        <w:spacing w:after="0" w:line="266" w:lineRule="auto"/>
        <w:tabs>
          <w:tab w:leader="none" w:pos="9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 of Stop Orders</w:t>
      </w:r>
      <w:r>
        <w:rPr>
          <w:rFonts w:ascii="Times New Roman" w:cs="Times New Roman" w:eastAsia="Times New Roman" w:hAnsi="Times New Roman"/>
          <w:sz w:val="18"/>
          <w:szCs w:val="18"/>
          <w:color w:val="auto"/>
        </w:rPr>
        <w:t>. If the Shelf Registration ceases to be effective for any reason at any time during the Effectiveness Period (other than in the case of Shelf Suspension Period(s) permitted by this Agreement or because of the sale of all of the Securities registered thereunder), the Company shall use commercially reasonable efforts to obtain the prompt withdrawal of any order suspending the effectiveness thereof.</w:t>
      </w:r>
    </w:p>
    <w:p>
      <w:pPr>
        <w:spacing w:after="0" w:line="175" w:lineRule="exact"/>
        <w:rPr>
          <w:rFonts w:ascii="Times New Roman" w:cs="Times New Roman" w:eastAsia="Times New Roman" w:hAnsi="Times New Roman"/>
          <w:sz w:val="18"/>
          <w:szCs w:val="18"/>
          <w:color w:val="auto"/>
        </w:rPr>
      </w:pPr>
    </w:p>
    <w:p>
      <w:pPr>
        <w:ind w:right="300" w:firstLine="656"/>
        <w:spacing w:after="0" w:line="261" w:lineRule="auto"/>
        <w:tabs>
          <w:tab w:leader="none" w:pos="89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Supplements and Amendments</w:t>
      </w:r>
      <w:r>
        <w:rPr>
          <w:rFonts w:ascii="Times New Roman" w:cs="Times New Roman" w:eastAsia="Times New Roman" w:hAnsi="Times New Roman"/>
          <w:sz w:val="18"/>
          <w:szCs w:val="18"/>
          <w:color w:val="auto"/>
        </w:rPr>
        <w:t>. The Company shall promptly supplement and/or amend the Shelf Registration if (i) required by the rules, regulations or instructions applicable to the registration form used for such Shelf Registration, (ii) required by the Securities Act or (iii) reasonably requested by the Holders of a majority in aggregate principal amount of the Transfer Restricted Securities covered by such Registration Statement with respect to the information included therein with respect to one or more of such Holders.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12" w:name="page113"/>
    <w:bookmarkEnd w:id="112"/>
    <w:p>
      <w:pPr>
        <w:ind w:left="180" w:hanging="172"/>
        <w:spacing w:after="0"/>
        <w:tabs>
          <w:tab w:leader="none" w:pos="1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INTEREST</w:t>
      </w:r>
    </w:p>
    <w:p>
      <w:pPr>
        <w:spacing w:after="0" w:line="229" w:lineRule="exact"/>
        <w:rPr>
          <w:sz w:val="20"/>
          <w:szCs w:val="20"/>
          <w:color w:val="auto"/>
        </w:rPr>
      </w:pPr>
    </w:p>
    <w:p>
      <w:pPr>
        <w:jc w:val="center"/>
        <w:ind w:right="40"/>
        <w:spacing w:after="0" w:line="272" w:lineRule="auto"/>
        <w:rPr>
          <w:sz w:val="20"/>
          <w:szCs w:val="20"/>
          <w:color w:val="auto"/>
        </w:rPr>
      </w:pPr>
      <w:r>
        <w:rPr>
          <w:rFonts w:ascii="Times New Roman" w:cs="Times New Roman" w:eastAsia="Times New Roman" w:hAnsi="Times New Roman"/>
          <w:sz w:val="17"/>
          <w:szCs w:val="17"/>
          <w:color w:val="auto"/>
        </w:rPr>
        <w:t>(a) The Company and the Dealer Managers agree that the Holders will suffer damages if the Company fails to fulfill its obligations under Section 2 or Section 3 hereof, as further specified in this Section 4, and that it would not be feasible to ascertain the extent of such damages with precision. Accordingly, the Company agrees to pay, as liquidated damages, additional interest on the Securities (“</w:t>
      </w:r>
      <w:r>
        <w:rPr>
          <w:rFonts w:ascii="Times New Roman" w:cs="Times New Roman" w:eastAsia="Times New Roman" w:hAnsi="Times New Roman"/>
          <w:sz w:val="17"/>
          <w:szCs w:val="17"/>
          <w:u w:val="single" w:color="auto"/>
          <w:color w:val="auto"/>
        </w:rPr>
        <w:t>Additional Interest</w:t>
      </w:r>
      <w:r>
        <w:rPr>
          <w:rFonts w:ascii="Times New Roman" w:cs="Times New Roman" w:eastAsia="Times New Roman" w:hAnsi="Times New Roman"/>
          <w:sz w:val="17"/>
          <w:szCs w:val="17"/>
          <w:color w:val="auto"/>
        </w:rPr>
        <w:t>”) if (A) the Company has neither</w:t>
      </w:r>
    </w:p>
    <w:p>
      <w:pPr>
        <w:spacing w:after="0" w:line="2" w:lineRule="exact"/>
        <w:rPr>
          <w:sz w:val="20"/>
          <w:szCs w:val="20"/>
          <w:color w:val="auto"/>
        </w:rPr>
      </w:pPr>
    </w:p>
    <w:p>
      <w:pPr>
        <w:ind w:firstLine="8"/>
        <w:spacing w:after="0" w:line="250" w:lineRule="auto"/>
        <w:tabs>
          <w:tab w:leader="none" w:pos="2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consummated the Exchange Offer on or prior to the 365th day following the Settlement Date nor (ii) if applicable, had a Shelf Registration Statement declared effective under the Securities Act on or prior to the 365th day after the date that such Shelf Registration is required to be declared effective determined in accordance with Section 2(c) and 3(a) hereof (other than in the case of Shelf Suspension Period(s) permitted by this Agreement), or (B) if applicable, a Shelf Registration has been declared effective and such Shelf Registration ceases to be effective at any time during the Effectiveness Period (other than in the case of Shelf Suspension Period(s) permitted by this Agreement or because of the sale of all of the Securities registered thereunder) and such failure to remain effective exists for more than 90 days (whether or not consecutive) in any 12-month period during the Effectiveness Period (each such event referred to in clauses (A) and (B), an “</w:t>
      </w:r>
      <w:r>
        <w:rPr>
          <w:rFonts w:ascii="Times New Roman" w:cs="Times New Roman" w:eastAsia="Times New Roman" w:hAnsi="Times New Roman"/>
          <w:sz w:val="18"/>
          <w:szCs w:val="18"/>
          <w:u w:val="single" w:color="auto"/>
          <w:color w:val="auto"/>
        </w:rPr>
        <w:t>Additional Interest Event</w:t>
      </w:r>
      <w:r>
        <w:rPr>
          <w:rFonts w:ascii="Times New Roman" w:cs="Times New Roman" w:eastAsia="Times New Roman" w:hAnsi="Times New Roman"/>
          <w:sz w:val="18"/>
          <w:szCs w:val="18"/>
          <w:color w:val="auto"/>
        </w:rPr>
        <w:t xml:space="preserve">”), then Additional Interest shall accrue on the principal amount of the Securities of the series affected by such Additional Interest Event then outstanding (but, following the consummation of the Exchange Offer, only on the principal amount of such Securities that could not be exchanged or were not exchanged as specified in Section 2(c) hereof) at a rate of 0.25% per annum during the 90-day period immediately following the occurrence of any Additional Interest Event, which rate will, after such 90-day period, increase to a maximum of 0.50% per annum thereafter (such Additional Interest to be calculated by the Company) commencing on (x) the 366th day after the Settlement Date, in the case of clause (A)(i) above, (y) such later date that a Shelf Registration is required to be declared effective determined in accordance with Section 2(c) and 3(a) hereof, in the case of clause (A)(ii) above, or (z) the date such Shelf Registration ceases to be effective for more than 90 days (whether or not consecutive) in any 12-month period during the Effectiveness Period (other than in the case of Shelf Suspension Period(s) permitted by this Agreement or because of the sale of all of the Securities registered thereunder), in the case of clause (B)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upon the exchange of the Exchange Securities for all Transfer Restricted Securities validly tendered (in the case of clause (A) of this Section 4(a)) or upon the effectiveness of the applicable Shelf Registration Statement which had ceased to remain effective (in the case of clause (B) of this Section 4(a)) or if the Securities otherwise no longer constitute Transfer Restricted Securities, Additional Interest on the Securities in respect of which such events relate as a result of such clause (or the relevant subclause thereof), as the case may be, shall cease to accrue. The obligation of the Company to pay Additional Interest as set forth in this Section 4 shall be the sole and exclusive remedy, monetary or otherwise, of the Holders and Participating Broker-Dealers for any Additional Interest Event, and no Holder or Participating Broker-Dealer shall be entitled to recover any consequential, indirect, special, incidental, exemplary, or punitive damages in connection therewith. Notwithstanding anything to the contrary herein, (i) the amount of Additional Interest payable shall not increase because more than one Additional Interest Event has occurred and is continuing, (ii) a Holder or Participating Broker-Dealer that is not entitled to the benefits of the Shelf Registration shall not be entitled to Additional Interest with respect to any Additional Interest Event that pertains to the Shelf Registration and (iii) the Company shall not be obligated to pay Additional Interest provided in this Section 4 during a Shelf Suspension Period permitted by Section 3(a) hereof. For the avoidance of doubt, following the cure of each Additional Interest Event, the accrual of Additional Interest on the affected Securities will cease, the interest rate will revert to the original rate on such Securities and, upon any subsequent Additional Interest Event following any such cure of such Additional Interest Event, Additional Interest will begin accruing again at 0.25% per annum and will increase to a maximum of 0.50% per annum as provided above until such subsequent Additional Interest Event has been cured.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ind w:firstLine="656"/>
        <w:spacing w:after="0" w:line="253" w:lineRule="auto"/>
        <w:tabs>
          <w:tab w:leader="none" w:pos="9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notify the Trustee within five Business Days after the occurrence of an Additional Interest Event in respect of which Additional Interest is required to be paid. Any amounts of Additional Interest due pursuant to clause (a) of this Section 4 shall be paid by depositing with the Trustee, in trust, for the benefit of the Holders of the Transfer Restricted Securities entitled to such Additional Interest, on or before the applicable semi-annual interest payment date set forth in the Indenture, immediately available funds in sums sufficient to pay the Additional Interest then due. The Additional Interest due shall be payable on each interest payment date to the record Holder of the Transfer Restricted Securities affected thereby entitled to receive the interest payment to be paid on such date as set forth in the Indenture. The amount of Additional Interest will be determined by the Company by multiplying the applicable Additional Interest rate by the applicable principal amount of the Transfer Restricted Securities entitled to such Additional Interest (as determined pursuant to Section 4(a) hereof), multiplied by a fraction, the numerator of which is the number of days such Additional Interest rate was applicable during such period (determined on the basis of a 360-day year consisting of twelve 30-day months and, in the case of a partial month, the actual number of days elapsed), and the denominator of which is 360. Each obligation to pay Additional Interest shall be deemed to accrue from and including the day following the applicable Additional Interest Event.</w:t>
      </w:r>
    </w:p>
    <w:p>
      <w:pPr>
        <w:spacing w:after="0" w:line="18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REGISTRATION PROCEDURES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any Registration Statement pursuant to Section 2 or 3 hereof, the Company shall use its commercially reasonable efforts to effect such registrations to permit the sale of the securities covered thereby in accordance with the intended method or methods of disposition thereof, and pursuant thereto and in connection with any Registration Statement filed by the Company hereunder, the Company shall:</w:t>
      </w:r>
    </w:p>
    <w:p>
      <w:pPr>
        <w:spacing w:after="0" w:line="176" w:lineRule="exact"/>
        <w:rPr>
          <w:sz w:val="20"/>
          <w:szCs w:val="20"/>
          <w:color w:val="auto"/>
        </w:rPr>
      </w:pPr>
    </w:p>
    <w:p>
      <w:pPr>
        <w:ind w:right="20" w:firstLine="656"/>
        <w:spacing w:after="0" w:line="253" w:lineRule="auto"/>
        <w:tabs>
          <w:tab w:leader="none" w:pos="89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prepare and file with the SEC, a Registration Statement as prescribed by Section 2 or 3 hereof, and use its commercially reasonable efforts to cause each such Registration Statement to become effective and remain effective as provided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(1) such filing is pursuant to Section 3 hereof or (2) a Prospectus contained in the Exchange Offer Registration Statement filed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2 hereof is required to be delivered under the Securities Act by any Participating Broker-Dealer from whom the Company has received prior written notice of its intent to participate in the Exchange Offer, then, prior to the filing of any such Registration Statement, Prospectus or any material amendment or supplement thereto, the Company shall furnish drafts thereof to counsel for the Holders of the Transfer Restricted Securities covered by such Registration Statement (which shall be a single firm and which shall be Latham &amp; Watkins LLP or such other firm selected by the Holders holding a majority in principal amount of such Transfer Restricted Securities) or counsel for such Participating Broker-Dealer, as applicable, and shall consider in good faith any comments timely received thereon;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review shall be limited to disclosure relating to such Holders or Participating Broker-Dealers and the plan of distribution, and shall not include any documents incorporated by reference or exhibits thereto. The Company shall not be required to delay any filing as a result of such review process, and the content of any filing shall remain within the sole discretion of the Company.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ind w:left="-40" w:firstLine="656"/>
        <w:spacing w:after="0" w:line="254" w:lineRule="auto"/>
        <w:tabs>
          <w:tab w:leader="none" w:pos="86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3(a), prepare and file with the SEC such amendments and post-effective amendments to each Shelf Registration Statement or Exchange Offer Registration Statement, as the case may be, as may be necessary to keep such Registration Statement continuously effective for the Effectiveness Period, the Applicable Period or until consummation of the Exchange Offer, as the case may be; cause the related Prospectus to be supplemented by any Prospectus supplement required by applicable law, and as so supplemented to be filed pursuant to Rule 424 (or any similar provision then in force); and comply with the provisions of the Securities Act and the Exchange Act applicable to it with respect to the disposition of all securities covered by such Registration Statement as so amended or in such Prospectus as so supplemented and with respect to the subsequent resale of any securities being sold by a Participating Broker-Dealer covered by any such Prospectus in all material respects;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contained herein shall imply that the Company is liable for any action or inaction of any Holder, including any Participating Broker-Dealer.</w:t>
      </w:r>
    </w:p>
    <w:p>
      <w:pPr>
        <w:spacing w:after="0" w:line="191" w:lineRule="exact"/>
        <w:rPr>
          <w:rFonts w:ascii="Times New Roman" w:cs="Times New Roman" w:eastAsia="Times New Roman" w:hAnsi="Times New Roman"/>
          <w:sz w:val="18"/>
          <w:szCs w:val="18"/>
          <w:color w:val="auto"/>
        </w:rPr>
      </w:pPr>
    </w:p>
    <w:p>
      <w:pPr>
        <w:ind w:left="-40" w:firstLine="656"/>
        <w:spacing w:after="0" w:line="252" w:lineRule="auto"/>
        <w:tabs>
          <w:tab w:leader="none" w:pos="85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(1) a Shelf Registration is filed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relating thereto from whom the Company has received prior written notice that it will be a Participating Broker-Dealer in the Exchange Offer, notify the selling Holders of Transfer Restricted Securities (with respect to a Registration Statement filed pursuant to Section 3 hereof) or each such Participating Broker-Dealer (with respect to any such Registration Statement), as the case may be, and their counsel promptly (but in any event within three Business Days) (i) when a Prospectus or any Prospectus supplement or post-effective amendment has been filed, and, with respect to a Registration Statement or any post-effective amendment, when the same has become effective under the Securities Act (including in such notice a written statement that any Holder may, upon request, obtain, at the sole expense of the Company, one conformed copy of such Registration Statement or post-effective amendment including financial statements and schedules, documents incorporated or deemed to be incorporated by reference and exhibits), (ii) of the issuance by the SEC of any stop order suspending the effectiveness of a Registration Statement or of any order preventing or suspending the use of any preliminary prospectus or the initiation of any proceedings for that purpose, (iii) of the receipt by the Company of any notification with respect to the suspension of the qualification or exemption from qualification of a Registration Statement or any of the Transfer Restricted Securities or the Exchange Securities to be sold by any Participating Broker-Dealer for offer or sale in any jurisdiction, or the initiation or threatening in writing of any proceeding for such purpose, (iv) of the happening of any event, the existence of any condition or any information becoming known that makes any statement made in such Registration Statement or related Prospectus or any document incorporated or deemed to be incorporated therein by reference untrue in any material respect or that requires the making of any changes in or amendments or supplements to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required to be stated therein or necessary to make the statements therein, in the light of the circumstances under which they were made, not misleading, and (v) of the Company’s determination that a post-effective amendment to a Registration Statement would be appropriate.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115" w:name="page116"/>
    <w:bookmarkEnd w:id="115"/>
    <w:p>
      <w:pPr>
        <w:ind w:left="-20" w:right="60" w:firstLine="656"/>
        <w:spacing w:after="0" w:line="266" w:lineRule="auto"/>
        <w:tabs>
          <w:tab w:leader="none" w:pos="88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prevent the issuance of any order suspending the effectiveness of a Registration Statement or of any order preventing or suspending the use of a Prospectus or suspending the qualification (or exemption from qualification) of any of the Transfer Restricted Securities or the Exchange Securities to be sold by any Participating Broker-Dealer, for sale in any jurisdiction.</w:t>
      </w:r>
    </w:p>
    <w:p>
      <w:pPr>
        <w:spacing w:after="0" w:line="175" w:lineRule="exact"/>
        <w:rPr>
          <w:rFonts w:ascii="Times New Roman" w:cs="Times New Roman" w:eastAsia="Times New Roman" w:hAnsi="Times New Roman"/>
          <w:sz w:val="18"/>
          <w:szCs w:val="18"/>
          <w:color w:val="auto"/>
        </w:rPr>
      </w:pPr>
    </w:p>
    <w:p>
      <w:pPr>
        <w:ind w:left="-20" w:right="60" w:firstLine="656"/>
        <w:spacing w:after="0" w:line="255" w:lineRule="auto"/>
        <w:tabs>
          <w:tab w:leader="none" w:pos="8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(1) a Shelf Registration is filed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furnish to each selling Holder of Transfer Restricted Securities (with respect to a Registration Statement filed pursuant to Section 3 hereof) and to each such Participating Broker-Dealer who so requests (with respect to any such Registration Statement) and to their respective counsel upon request and at the sole expense of the Company, one conformed copy of the Registration Statement or Registration Statements and each post-effective amendment thereto, including financial statements and schedules, and, if requested, all documents incorporated or deemed to be incorporated therein by reference and all exhibits.</w:t>
      </w:r>
    </w:p>
    <w:p>
      <w:pPr>
        <w:spacing w:after="0" w:line="188" w:lineRule="exact"/>
        <w:rPr>
          <w:rFonts w:ascii="Times New Roman" w:cs="Times New Roman" w:eastAsia="Times New Roman" w:hAnsi="Times New Roman"/>
          <w:sz w:val="18"/>
          <w:szCs w:val="18"/>
          <w:color w:val="auto"/>
        </w:rPr>
      </w:pPr>
    </w:p>
    <w:p>
      <w:pPr>
        <w:ind w:left="-20" w:firstLine="656"/>
        <w:spacing w:after="0" w:line="253" w:lineRule="auto"/>
        <w:tabs>
          <w:tab w:leader="none" w:pos="85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(1) a Shelf Registration is filed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deliver to each selling Holder of Transfer Restricted Securities (with respect to a Registration Statement filed pursuant to Section 3 hereof), or each such Participating Broker-Dealer (with respect to any such Registration Statement), as the case may be, and their respective counsel at the sole expense of the Company, as many copies of the Prospectus or Prospectuses (including each form of preliminary prospectus) and each amendment or supplement thereto and any documents incorporated by reference therein as such Persons may reasonably request; and, subject to the last paragraph of this Section 5, the Company hereby consents to the use of such Prospectus and each amendment or supplement thereto by each of the selling Holders of Transfer Restricted Securities or each such Participating Broker-Dealer, as the case may be, in connection with the offering and sale of the Transfer Restricted Securities covered by, or the sale by Participating Broker-Dealers of the Exchange Securities pursuant to, such Prospectus and any amendment or supplement thereto.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16" w:name="page117"/>
    <w:bookmarkEnd w:id="116"/>
    <w:p>
      <w:pPr>
        <w:ind w:left="-20" w:right="20" w:firstLine="656"/>
        <w:spacing w:after="0" w:line="253" w:lineRule="auto"/>
        <w:tabs>
          <w:tab w:leader="none" w:pos="88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delivery of a Prospectus contained in the Exchange Offer Registration Statement by any Participating Broker-Dealer who seeks to sell Exchange Securities during the Applicable Period, use its commercially reasonable efforts to register or qualify, and to cooperate with the selling Holders of Transfer Restricted Securities or each such Participating Broker-Dealer, as the case may be, and their respective counsel in connection with the registration or qualification (or exemption from such registration or qualification) of such Transfer Restricted Securities for offer and sale under the securities or Blue Sky laws of such jurisdictions within the United States as any selling Holder or Participating Broker-Dealer reasonably request in writing;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agrees to use its commercially reasonable efforts to cause its counsel to perform Blue Sky investigations and file registrations and qualifications required to be filed pursuant to this Section 5(g), keep each such registration or qualification (or exemption therefrom) effective during the period such Registration Statement is required to be kept effective and do any and all other acts or things necessary or advisable to enable the disposition in such jurisdictions of the Exchange Securities held by Participating Broker-Dealers or the Transfer Restricted Securities covered by the applicable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(A) qualify generally to do business in any jurisdiction where they are not then so qualified, (B) take any action that would subject them to general service of process or taxation in any such jurisdiction where they are not then so subject or (C) make any changes to its certificate of incorporation or by-laws (or other organizational documents) or any agreement between it and holders of its ownership interests.</w:t>
      </w:r>
    </w:p>
    <w:p>
      <w:pPr>
        <w:spacing w:after="0" w:line="187" w:lineRule="exact"/>
        <w:rPr>
          <w:rFonts w:ascii="Times New Roman" w:cs="Times New Roman" w:eastAsia="Times New Roman" w:hAnsi="Times New Roman"/>
          <w:sz w:val="18"/>
          <w:szCs w:val="18"/>
          <w:color w:val="auto"/>
        </w:rPr>
      </w:pPr>
    </w:p>
    <w:p>
      <w:pPr>
        <w:jc w:val="both"/>
        <w:ind w:left="-20" w:right="40" w:firstLine="656"/>
        <w:spacing w:after="0" w:line="261" w:lineRule="auto"/>
        <w:tabs>
          <w:tab w:leader="none" w:pos="88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Shelf Registration is filed pursuant to Section 3 hereof, cooperate with the selling Holders of Transfer Restricted Securities to facilitate the timely preparation and delivery of certificates representing Transfer Restricted Securities to be sold, which certificates shall not bear any restrictive legends and shall be in a form eligible for deposit with The Depository Trust Company; and enable such Transfer Restricted Securities to be in such denominations (subject to applicable requirements contained in the Indenture) and registered in such names as the Holders may reasonably request.</w:t>
      </w:r>
    </w:p>
    <w:p>
      <w:pPr>
        <w:spacing w:after="0" w:line="179" w:lineRule="exact"/>
        <w:rPr>
          <w:rFonts w:ascii="Times New Roman" w:cs="Times New Roman" w:eastAsia="Times New Roman" w:hAnsi="Times New Roman"/>
          <w:sz w:val="18"/>
          <w:szCs w:val="18"/>
          <w:color w:val="auto"/>
        </w:rPr>
      </w:pPr>
    </w:p>
    <w:p>
      <w:pPr>
        <w:ind w:left="-20" w:firstLine="656"/>
        <w:spacing w:after="0" w:line="253" w:lineRule="auto"/>
        <w:tabs>
          <w:tab w:leader="none" w:pos="84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(1) a Shelf Registration is filed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upon the occurrence of any event contemplated by Section 5(c)(iv) or 5(c)(v) hereof, as promptly as practicable, use its commercially reasonable efforts to prepare and (subject to Section 5(a) hereof) file with the SEC, at the sole expense of the Company, a supplement or post-effective amendment to the Registration Statement or a supplement to the related Prospectus or any document incorporated therein by reference so that (but only to such an extent that), as thereafter delivered to the purchasers of the Transfer Restricted Securities being sold thereunder (with respect to a Registration Statement filed pursuant to Section 3 hereof) or to the purchasers of the Exchange Securities to whom such Prospectus will be delivered by a Participating Broker-Dealer (with respect to any such Registration Statement), any such Prospectus will not contain an untrue statement of a material fact or omit to state a material fact required to be stated therein or necessary to make the statements therein, in the light of the circumstances under which they were made, not misleading.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17" w:name="page118"/>
    <w:bookmarkEnd w:id="117"/>
    <w:p>
      <w:pPr>
        <w:ind w:right="40" w:firstLine="656"/>
        <w:spacing w:after="0" w:line="266" w:lineRule="auto"/>
        <w:tabs>
          <w:tab w:leader="none" w:pos="86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date of the Registration Statement relating to the Transfer Restricted Securities, (i) if then in certificated form, provide the Trustee with certificates for the Transfer Restricted Securities in a form eligible for deposit with The Depository Trust Company and (ii) provide a CUSIP number for the Transfer Restricted Securities.</w:t>
      </w:r>
    </w:p>
    <w:p>
      <w:pPr>
        <w:spacing w:after="0" w:line="175" w:lineRule="exact"/>
        <w:rPr>
          <w:rFonts w:ascii="Times New Roman" w:cs="Times New Roman" w:eastAsia="Times New Roman" w:hAnsi="Times New Roman"/>
          <w:sz w:val="18"/>
          <w:szCs w:val="18"/>
          <w:color w:val="auto"/>
        </w:rPr>
      </w:pPr>
    </w:p>
    <w:p>
      <w:pPr>
        <w:ind w:firstLine="656"/>
        <w:spacing w:after="0" w:line="274" w:lineRule="auto"/>
        <w:tabs>
          <w:tab w:leader="none" w:pos="903"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an indenture trustee for the Transfer Restricted Securities or the Exchange Securities, as the case may be, and cause the Indenture or the trust indenture provided for in Section 2(a) hereof, as the case may be, to be qualified under the TIA not later than the effective date of the Registration Statement relating to the Transfer Restricted Securities; and in connection therewith, cooperate with the trustee under any such indenture and the Holders of the Transfer Restricted Securities, to effect such changes (if any) to such indenture as may be required for such indenture to be so qualified in accordance with the terms of the TIA; and execute, and use its commercially reasonable efforts to cause such trustee to execute, all documents as may be required to effect such changes, and all other forms and documents required to be filed with the SEC to enable such indenture to be so qualified in a timely manner.</w:t>
      </w:r>
    </w:p>
    <w:p>
      <w:pPr>
        <w:spacing w:after="0" w:line="172" w:lineRule="exact"/>
        <w:rPr>
          <w:rFonts w:ascii="Times New Roman" w:cs="Times New Roman" w:eastAsia="Times New Roman" w:hAnsi="Times New Roman"/>
          <w:sz w:val="17"/>
          <w:szCs w:val="17"/>
          <w:color w:val="auto"/>
        </w:rPr>
      </w:pPr>
    </w:p>
    <w:p>
      <w:pPr>
        <w:ind w:right="80" w:firstLine="656"/>
        <w:spacing w:after="0" w:line="258" w:lineRule="auto"/>
        <w:tabs>
          <w:tab w:leader="none" w:pos="86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Comply in all material respects with all applicable rules and regulations of the SEC, and make generally available to their securityholders with regard to any applicable Registration Statement a consolidated earnings statement (which need not be audited) satisfying the provisions of Section 11(a) of the Securities Act and Rule 158 thereunder (or any similar rule promulgated under the Securities Act) for the 12-month period beginning with the first month of the Company’s first fiscal quarter commencing after the effective date of the first Registration Statement required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requirement shall be deemed satisfied by the Company by complying with the applicable reporting covenant of the Indenture.</w:t>
      </w:r>
    </w:p>
    <w:p>
      <w:pPr>
        <w:spacing w:after="0" w:line="183" w:lineRule="exact"/>
        <w:rPr>
          <w:rFonts w:ascii="Times New Roman" w:cs="Times New Roman" w:eastAsia="Times New Roman" w:hAnsi="Times New Roman"/>
          <w:sz w:val="18"/>
          <w:szCs w:val="18"/>
          <w:color w:val="auto"/>
        </w:rPr>
      </w:pPr>
    </w:p>
    <w:p>
      <w:pPr>
        <w:ind w:right="160" w:firstLine="656"/>
        <w:spacing w:after="0" w:line="258" w:lineRule="auto"/>
        <w:tabs>
          <w:tab w:leader="none" w:pos="95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Exchange Offer or a Private Exchange is to be consummated, upon delivery of the Transfer Restricted Securities by Holders to the Company (or to such other Person as directed by the Company), in exchange for the Exchange Securities or the Private Exchange Notes, as the case may be, if then in certificated form, the Company shall mark, or cause to be marked, on such Transfer Restricted Securities that such Transfer Restricted Securities are being cancelled in exchange for the Exchange Securities or the Private Exchange Notes, as the case may be; in no event shall such Transfer Restricted Securities be marked as paid or otherwise satisfied.</w:t>
      </w:r>
    </w:p>
    <w:p>
      <w:pPr>
        <w:spacing w:after="0" w:line="183" w:lineRule="exact"/>
        <w:rPr>
          <w:rFonts w:ascii="Times New Roman" w:cs="Times New Roman" w:eastAsia="Times New Roman" w:hAnsi="Times New Roman"/>
          <w:sz w:val="18"/>
          <w:szCs w:val="18"/>
          <w:color w:val="auto"/>
        </w:rPr>
      </w:pPr>
    </w:p>
    <w:p>
      <w:pPr>
        <w:ind w:right="80" w:firstLine="656"/>
        <w:spacing w:after="0" w:line="282" w:lineRule="auto"/>
        <w:tabs>
          <w:tab w:leader="none" w:pos="90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take all other steps reasonably necessary to effect the registration of the Exchange Securities and/or Transfer Restricted Securities covered by a Registration Statement contemplated hereby.</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may require each seller of Transfer Restricted Securities as to which any registration is being effected to furnish to the Company in writing such information regarding such seller and the distribution of such Transfer Restricted Securities as the Company may, from time to time, reasonably request. The Company may exclude from such registration the Transfer Restricted Securities of any seller so long as such seller fails to furnish such information in writing within a reasonable time after receiving such request. Each seller as to which any Shelf Registration is being effected agrees to furnish promptly in writing to the Company all information required to be disclosed in order to make the information previously furnished to the Company by such seller not materially misleading.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8" w:name="page119"/>
    <w:bookmarkEnd w:id="118"/>
    <w:p>
      <w:pPr>
        <w:ind w:firstLine="648"/>
        <w:spacing w:after="0" w:line="255" w:lineRule="auto"/>
        <w:rPr>
          <w:sz w:val="20"/>
          <w:szCs w:val="20"/>
          <w:color w:val="auto"/>
        </w:rPr>
      </w:pPr>
      <w:r>
        <w:rPr>
          <w:rFonts w:ascii="Times New Roman" w:cs="Times New Roman" w:eastAsia="Times New Roman" w:hAnsi="Times New Roman"/>
          <w:sz w:val="18"/>
          <w:szCs w:val="18"/>
          <w:color w:val="auto"/>
        </w:rPr>
        <w:t>If any such Registration Statement refers to any Holder by name or otherwise as the holder of any securities of the Company, then such Holder shall have the right to require (to the extent not objected to by the SEC) (i) the insertion therein of language, in form and substance reasonably satisfactory to such Holder, to the effect that the holding by such Holder of such securities is not to be construed as a recommendation by such Holder of the investment quality of the securities covered thereby and that such holding does not imply that such Holder will assist in meeting any future financial requirements of the Company or (ii) in the event that such reference to such Holder by name or otherwise is not required by the Securities Act or any similar federal statute then in force, the deletion of the reference to such Holder in any amendment or supplement to the Registration Statement filed or prepared subsequent to the time that such reference ceases to be required.</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Each Holder of Transfer Restricted Securities and each Participating Broker-Dealer agrees by its acquisition of such Transfer Restricted Securities or Exchange Securities to be sold by such Participating Broker-Dealer, as the case may be, that, upon receipt of any notice from the Company of the happening of any event of the kind described in Section 5(c)(ii), 5(c)(iii), 5(c)(iv), or 5(c)(v) hereof, such Holder shall forthwith discontinue disposition of such Transfer Restricted Securities covered by such Registration Statement or Prospectus or Exchange Securities to be sold by such Holder or Participating Broker-Dealer, as the case may be, until such Holder’s or Participating Broker-Dealer’s receipt of the copies of the supplemented or amended Prospectus contemplated by Section 5(i) hereof, or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may be resumed, and has received copies of any amendments or supplements thereto. In the event that the Company shall give any such notice, each of the Applicable Period and the Effectiveness Period shall be extended by the number of days during such periods from and including the date of the giving of such notice to and including the date when each seller of Transfer Restricted Securities covered by such Registration Statement or Exchange Securities to be sold by such Participating Broker-Dealer, as the case may be, shall have received (x) the copies of the supplemented or amended Prospectus contemplated by Section 5(i) hereof or (y) the Advice.</w:t>
      </w:r>
    </w:p>
    <w:p>
      <w:pPr>
        <w:spacing w:after="0" w:line="188" w:lineRule="exact"/>
        <w:rPr>
          <w:sz w:val="20"/>
          <w:szCs w:val="20"/>
          <w:color w:val="auto"/>
        </w:rPr>
      </w:pPr>
    </w:p>
    <w:p>
      <w:pPr>
        <w:ind w:left="180" w:hanging="172"/>
        <w:spacing w:after="0"/>
        <w:tabs>
          <w:tab w:leader="none" w:pos="1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REGISTRATION EXPENSES</w:t>
      </w:r>
    </w:p>
    <w:p>
      <w:pPr>
        <w:spacing w:after="0" w:line="229" w:lineRule="exact"/>
        <w:rPr>
          <w:rFonts w:ascii="Times New Roman" w:cs="Times New Roman" w:eastAsia="Times New Roman" w:hAnsi="Times New Roman"/>
          <w:sz w:val="18"/>
          <w:szCs w:val="18"/>
          <w:b w:val="1"/>
          <w:bCs w:val="1"/>
          <w:color w:val="auto"/>
        </w:rPr>
      </w:pPr>
    </w:p>
    <w:p>
      <w:pPr>
        <w:ind w:firstLine="656"/>
        <w:spacing w:after="0" w:line="252" w:lineRule="auto"/>
        <w:tabs>
          <w:tab w:leader="none" w:pos="88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incident to the performance of or compliance with this Agreement by the Company of its obligations under Sections 2, 3, 5 and 8 hereof shall be borne by the Company whether or not the Exchange Offer Registration Statement or any Shelf Registration Statement is filed or becomes effective or the Exchange Offer is consummated, including, without limitation, (i) all registration and filing fees (including, without limitation, fees and expenses of compliance with state securities or Blue Sky laws (including, without limitation, reasonable fees and disbursements of counsel in connection with Blue Sky qualifications of the Transfer Restricted Securities or Exchange Securities as provided in Section 5(g)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payable by the Company with respect to fees and expenses of counsel pursuant to this clause (i) and Section 6(a)(i) of New Notes Registration Rights Agreement shall not, in the aggregate, exceed $20,000), (ii) printing expenses, including, without limitation, printing Prospectuses if the printing of Prospectuses is requested by the Holders of a majority in aggregate principal amount of the Transfer Restricted Securities included in any Registration Statement, or in respect of Transfer Restricted Securities or Exchange Securities to be sold by any Participating Broker-Dealer during the Applicable Period, as the case may be, (iii) fees and expenses of the Trustee and any exchange agent retained by the Company and their counsel, and</w:t>
      </w:r>
    </w:p>
    <w:p>
      <w:pPr>
        <w:spacing w:after="0" w:line="5" w:lineRule="exact"/>
        <w:rPr>
          <w:rFonts w:ascii="Times New Roman" w:cs="Times New Roman" w:eastAsia="Times New Roman" w:hAnsi="Times New Roman"/>
          <w:sz w:val="18"/>
          <w:szCs w:val="18"/>
          <w:color w:val="auto"/>
        </w:rPr>
      </w:pPr>
    </w:p>
    <w:p>
      <w:pPr>
        <w:ind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fees and disbursements of counsel for the Company and, in the case of a Shelf Registration, subject to Section 6(b), reasonable and documented fees and disbursements of one firm of counsel for all of the sellers of Transfer Restricted Securities selected by the Holders of a majority in aggregate principal amount of Transfer Restricted Securities covered by such Shelf Registration (which counsel shall be reasonably satisfactory to the Company) exclusive of any counsel retained pursuant to Section 7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payable by the Company with respect to fees and expenses of counsel for the sellers of Transfer Restricted Securities pursuant to this clause (iv) and Section 6(a)(iv) of New Notes Registration Rights Agreement shall not, in the aggregate, exceed $150,000);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Holder shall pay all commissions and transfer taxes, if any, relating to the sale and disposition of such Holder’s Transfer Restricted Securities pursuant to the Shelf Registration Statement.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9" w:name="page120"/>
    <w:bookmarkEnd w:id="119"/>
    <w:p>
      <w:pPr>
        <w:ind w:left="-8" w:firstLine="656"/>
        <w:spacing w:after="0" w:line="274" w:lineRule="auto"/>
        <w:tabs>
          <w:tab w:leader="none" w:pos="895"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Registration Statement required by this Agreement (other than the Exchange Offer Registration Statement), the Company will reimburse the Dealer Managers and the Holders of Transfer Restricted Securities being resold pursuant to the “</w:t>
      </w:r>
      <w:r>
        <w:rPr>
          <w:rFonts w:ascii="Times New Roman" w:cs="Times New Roman" w:eastAsia="Times New Roman" w:hAnsi="Times New Roman"/>
          <w:sz w:val="17"/>
          <w:szCs w:val="17"/>
          <w:u w:val="single" w:color="auto"/>
          <w:color w:val="auto"/>
        </w:rPr>
        <w:t>Plan of Distribution</w:t>
      </w:r>
      <w:r>
        <w:rPr>
          <w:rFonts w:ascii="Times New Roman" w:cs="Times New Roman" w:eastAsia="Times New Roman" w:hAnsi="Times New Roman"/>
          <w:sz w:val="17"/>
          <w:szCs w:val="17"/>
          <w:color w:val="auto"/>
        </w:rPr>
        <w:t>” contained in the Shelf Registration Statement for the reasonable and documented fees and disbursements of not more than one counsel, who shall be Latham &amp; Watkins LLP or such other counsel as may be chosen by the Holders of a majority in principal amount of the Transfer Restricted Securities for whose benefit such Shelf Registration Statement is being prepared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aggregate amount payable by the Company with respect to fees and expenses of counsel pursuant to this clause (b) and Section 6(b) of New Notes Registration Rights Agreement shall not, in the aggregate, exceed $150,000).</w:t>
      </w:r>
    </w:p>
    <w:p>
      <w:pPr>
        <w:spacing w:after="0" w:line="168" w:lineRule="exact"/>
        <w:rPr>
          <w:rFonts w:ascii="Times New Roman" w:cs="Times New Roman" w:eastAsia="Times New Roman" w:hAnsi="Times New Roman"/>
          <w:sz w:val="17"/>
          <w:szCs w:val="17"/>
          <w:color w:val="auto"/>
        </w:rPr>
      </w:pPr>
    </w:p>
    <w:p>
      <w:pPr>
        <w:ind w:left="172" w:hanging="172"/>
        <w:spacing w:after="0"/>
        <w:tabs>
          <w:tab w:leader="none" w:pos="17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 AND CONTRIBUTION</w:t>
      </w:r>
    </w:p>
    <w:p>
      <w:pPr>
        <w:spacing w:after="0" w:line="229" w:lineRule="exact"/>
        <w:rPr>
          <w:rFonts w:ascii="Times New Roman" w:cs="Times New Roman" w:eastAsia="Times New Roman" w:hAnsi="Times New Roman"/>
          <w:sz w:val="18"/>
          <w:szCs w:val="18"/>
          <w:b w:val="1"/>
          <w:bCs w:val="1"/>
          <w:color w:val="auto"/>
        </w:rPr>
      </w:pPr>
    </w:p>
    <w:p>
      <w:pPr>
        <w:ind w:left="-8" w:right="160" w:firstLine="656"/>
        <w:spacing w:after="0" w:line="256" w:lineRule="auto"/>
        <w:tabs>
          <w:tab w:leader="none" w:pos="88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each Dealer Manager and each affiliate of any Dealer Manager within the meaning of Rule 405 under the Securities Act, each Holder of Transfer Restricted Securities, each Participating Broker-Dealer selling Exchange Securities during the Applicable Period and each affiliate of any Participating Broker-Dealer within the meaning of Rule 405 under the Securities Act, and each Person, if any, who controls such Person within the meaning of Section 15 of the Securities Act or Section 20 of the Exchange Act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against any losses, claims, damages or liabilities, joint or several, to which any Participant may become subject under the Securities Act, the Exchange Act or otherwise, insofar as any such losses, claims, damages or liabilities (or actions in respect thereof) arise out of or are based upon:</w:t>
      </w:r>
    </w:p>
    <w:p>
      <w:pPr>
        <w:spacing w:after="0" w:line="187" w:lineRule="exact"/>
        <w:rPr>
          <w:sz w:val="20"/>
          <w:szCs w:val="20"/>
          <w:color w:val="auto"/>
        </w:rPr>
      </w:pPr>
    </w:p>
    <w:p>
      <w:pPr>
        <w:ind w:left="-8" w:right="240" w:firstLine="656"/>
        <w:spacing w:after="0" w:line="282" w:lineRule="auto"/>
        <w:tabs>
          <w:tab w:leader="none" w:pos="8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any material fact contained in any Registration Statement (or any amendment thereto) or Prospectus (as amended or supplemented if the Company shall have furnished any amendments or supplements thereto); or</w:t>
      </w:r>
    </w:p>
    <w:p>
      <w:pPr>
        <w:spacing w:after="0" w:line="37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120" w:name="page121"/>
    <w:bookmarkEnd w:id="120"/>
    <w:p>
      <w:pPr>
        <w:ind w:right="140" w:firstLine="656"/>
        <w:spacing w:after="0" w:line="266" w:lineRule="auto"/>
        <w:tabs>
          <w:tab w:leader="none" w:pos="91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omission, or alleged omission to state, in any Registration Statement (or any amendment thereto) or Prospectus (as amended or supplemented if the Company shall have furnished any amendments or supplements thereto), a material fact required to be stated therein or necessary to make the statements therein (in the case of any such Prospectus, in the light of the circumstances under which such statement was made), not misleading;</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and agree (subject to the limitations set forth in the proviso to this sentence) to reimburse, as incurred, the Participant for any reasonable legal or other expenses incurred by the Participant in connection with investigating, defending against or appearing as a third-party witness in connection with any such loss, claim, damage, liability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will not be liable in any case under this Section 7(a) to the extent that any such loss, claim, damage or liability (A) arises out of or is based upon any untrue statement or omission or alleged untrue statement or alleged omission made in any Registration Statement (or any amendment thereto) or Prospectus (as amended or supplemented if the Company shall have furnished any amendments or supplements thereto) or any amendment or supplement thereto in reliance upon and in conformity with written information relating to any Participant furnished to the Company by such Participant specifically for use therein or (B) arising from an offer or sale of Securities or Exchange Securities occurring during a Shelf Suspension Period by a Holder or Participating Broker-Dealer to whom the Company theretofore provided notice thereof pursuant to Section 5(c) hereof. The indemnity provided for in this Section 7 will be in addition to any liability that the Company may otherwise have to the indemnified parties. The Company shall not be liable under this Section 7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Company, which consent shall not be unreasonably withheld.</w:t>
      </w:r>
    </w:p>
    <w:p>
      <w:pPr>
        <w:spacing w:after="0" w:line="187" w:lineRule="exact"/>
        <w:rPr>
          <w:sz w:val="20"/>
          <w:szCs w:val="20"/>
          <w:color w:val="auto"/>
        </w:rPr>
      </w:pPr>
    </w:p>
    <w:p>
      <w:pPr>
        <w:ind w:right="20" w:firstLine="656"/>
        <w:spacing w:after="0" w:line="252" w:lineRule="auto"/>
        <w:tabs>
          <w:tab w:leader="none" w:pos="90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severally and not jointly, agrees to indemnify and hold harmless the Company, its directors, its officers and each Person, if any, who controls the Company within the meaning of Section 15 of the Securities Act or Section 20 of the Exchange Act against any losses, claims, damages or liabilities to which the Company or any such director, officer, representative, agent, employee or controlling person may become subject under the Securities Act, the Exchange Act or otherwise, insofar as such losses, claims, damages or liabilities (or actions in respect thereof) arise out of or are based upon (i) any untrue statement or alleged untrue statement of any material fact contained in any Registration Statement or Prospectus or any amendment or supplement thereto, (ii) the omission or the alleged omission to state therein a material fact necessary to make the statements therein not misleading (in the case of any such Prospectus, in the light of the circumstances under which such statements were made), in each case to the extent, but only to the extent, that such untrue statement or omission or alleged untrue statement or alleged omission was made in reliance upon and in conformity with written information concerning such Participant furnished to the Company by or on behalf of such Participant specifically for use therein or (iii) an offer or sale of Securities or Exchange Securities occurring during a Shelf Suspension Period by a Holder or Participating Broker-Dealer to whom the Company theretofore provided notice thereof pursuant to Section 5(c) hereof; and subject to the limitation set forth immediately preceding this clause, will reimburse, as incurred, any reasonable legal or other expenses incurred by the Company or any such director, officer, representative, agent, employee or controlling person in connection with investigating or defending against or appearing as a third-party witness in connection with any such loss, claim, damage, liability or action in respect thereof. The indemnity provided for in this Section 7 will be in addition to any liability that the Participants may otherwise have to the indemnified parties. A Participant shall not be liable under this Section 7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Participant, which consent shall not be unreasonably withheld.</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21" w:name="page122"/>
    <w:bookmarkEnd w:id="121"/>
    <w:p>
      <w:pPr>
        <w:ind w:left="-8" w:firstLine="656"/>
        <w:spacing w:after="0" w:line="255" w:lineRule="auto"/>
        <w:tabs>
          <w:tab w:leader="none" w:pos="88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this Section 7 of notice of the commencement of any action, such indemnified party shall, if a claim in respect thereof is to be made against the indemnifying party under this Section 7, notify the indemnifying party of the commencement thereof in writing; but the omission to so notify the indemnifying party (i) will not relieve it from any liability under paragraph (a) or (b) above unless and to the extent it did not otherwise learn of such action and such failure results in the forfeiture by the indemnifying party of substantial rights and defenses and</w:t>
      </w:r>
    </w:p>
    <w:p>
      <w:pPr>
        <w:spacing w:after="0" w:line="2" w:lineRule="exact"/>
        <w:rPr>
          <w:rFonts w:ascii="Times New Roman" w:cs="Times New Roman" w:eastAsia="Times New Roman" w:hAnsi="Times New Roman"/>
          <w:sz w:val="18"/>
          <w:szCs w:val="18"/>
          <w:color w:val="auto"/>
        </w:rPr>
      </w:pPr>
    </w:p>
    <w:p>
      <w:pPr>
        <w:ind w:left="-8" w:right="100" w:firstLine="8"/>
        <w:spacing w:after="0" w:line="250" w:lineRule="auto"/>
        <w:tabs>
          <w:tab w:leader="none" w:pos="25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not, in any event, relieve the indemnifying party from any obligations to any indemnified party other than the indemnification obligation provided in paragraphs (a) and (b) above. The indemnifying party shall be entitled to appoint counsel (including local counsel in each applicable jurisdiction)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counsel shall be reasonably satisfactory to the indemnified party. Notwithstanding the indemnifying party’s election to appoint counsel (including local counsel in each applicable jurisdiction) to represent the indemnified party in an action, the indemnified party shall have the right to employ separate counsel (including local counsel in each applicable jurisdiction), and the indemnifying party shall bear the reasonable fees, costs and expenses of such separate counsel if</w:t>
      </w:r>
    </w:p>
    <w:p>
      <w:pPr>
        <w:spacing w:after="0" w:line="3" w:lineRule="exact"/>
        <w:rPr>
          <w:rFonts w:ascii="Times New Roman" w:cs="Times New Roman" w:eastAsia="Times New Roman" w:hAnsi="Times New Roman"/>
          <w:sz w:val="18"/>
          <w:szCs w:val="18"/>
          <w:color w:val="auto"/>
        </w:rPr>
      </w:pPr>
    </w:p>
    <w:p>
      <w:pPr>
        <w:ind w:left="-8" w:right="40" w:firstLine="8"/>
        <w:spacing w:after="0" w:line="251" w:lineRule="auto"/>
        <w:tabs>
          <w:tab w:leader="none" w:pos="20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counsel chosen by the indemnifying party to represent the indemnified party would present such counsel with a conflict of interest (based on the advice of counsel to the indemnified party); (ii) such action includes both the indemnified party and the indemnifying party and the indemnified party shall have reasonably concluded (based on the advice of counsel to the indemnified party)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It is understood and agreed that the indemnifying party shall not, in connection with any proceeding or separate but related or substantially similar proceedings in the same jurisdiction arising out of the same general allegations or circumstances, be liable for the reasonable fees and expenses of more than one separate firm (in addition to one local counsel in each applicable jurisdiction) representing the indemnified parties under paragraph (a) or paragraph (b) of this Section 7, as the case may be, who are parties to such action or actions. Any such separate firm for any Participants shall be designated in writing by Participants who sold a majority in interest of the Transfer Restricted Securities and Exchange Securities sold by all such Participants, in the case of paragraph (a) of this Section 7, or the Company, in the case of paragraph (b) of this Section 7. An indemnifying party shall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statement as to, or any admission of, fault, culpability or failure to act by or on behalf of any indemnified party. All fees and expenses reimbursed pursuant to this paragraph (c) shall be reimbursed as they are incurred and following a written request therefor.</w:t>
      </w:r>
    </w:p>
    <w:p>
      <w:pPr>
        <w:spacing w:after="0" w:line="200" w:lineRule="exact"/>
        <w:rPr>
          <w:sz w:val="20"/>
          <w:szCs w:val="20"/>
          <w:color w:val="auto"/>
        </w:rPr>
      </w:pPr>
    </w:p>
    <w:p>
      <w:pPr>
        <w:spacing w:after="0" w:line="20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122" w:name="page123"/>
    <w:bookmarkEnd w:id="122"/>
    <w:p>
      <w:pPr>
        <w:ind w:left="-8" w:right="120" w:firstLine="656"/>
        <w:spacing w:after="0" w:line="255" w:lineRule="auto"/>
        <w:tabs>
          <w:tab w:leader="none" w:pos="88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notice from the indemnifying party to such indemnified party of its election so to assume the defense thereof and approval by such indemnified party of counsel appointed to defend such action, the indemnifying party shall not be liable to such indemnified party under this Section 7 for any legal or other expenses, other than reasonable costs of investigation, subsequently incurred by such indemnified party in connection with the defense thereof, unless (i) the indemnified party shall have employed separate counsel in accordance with the third sentence of paragraph (c) of this Section 7, or</w:t>
      </w:r>
    </w:p>
    <w:p>
      <w:pPr>
        <w:spacing w:after="0" w:line="2" w:lineRule="exact"/>
        <w:rPr>
          <w:rFonts w:ascii="Times New Roman" w:cs="Times New Roman" w:eastAsia="Times New Roman" w:hAnsi="Times New Roman"/>
          <w:sz w:val="18"/>
          <w:szCs w:val="18"/>
          <w:color w:val="auto"/>
        </w:rPr>
      </w:pPr>
    </w:p>
    <w:p>
      <w:pPr>
        <w:ind w:left="-8" w:right="40" w:firstLine="8"/>
        <w:spacing w:after="0" w:line="253" w:lineRule="auto"/>
        <w:tabs>
          <w:tab w:leader="none" w:pos="25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has authorized in writing the employment of counsel for the indemnified party at the expense of the indemnifying party. After such notice from the indemnifying party to such indemnified party, the indemnifying party will not be liable for the costs and expenses of any settlement of such action effected by such indemnified party without the prior written consent of the indemnifying party (which consent shall not be unreasonably withheld), unless such indemnified party waived in writing its rights under this Section 7, in which case the indemnified party may effect such a settlement without such consent.</w:t>
      </w:r>
    </w:p>
    <w:p>
      <w:pPr>
        <w:spacing w:after="0" w:line="186" w:lineRule="exact"/>
        <w:rPr>
          <w:rFonts w:ascii="Times New Roman" w:cs="Times New Roman" w:eastAsia="Times New Roman" w:hAnsi="Times New Roman"/>
          <w:sz w:val="18"/>
          <w:szCs w:val="18"/>
          <w:color w:val="auto"/>
        </w:rPr>
      </w:pPr>
    </w:p>
    <w:p>
      <w:pPr>
        <w:ind w:left="-8" w:firstLine="656"/>
        <w:spacing w:after="0" w:line="251" w:lineRule="auto"/>
        <w:tabs>
          <w:tab w:leader="none" w:pos="88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circumstances in which the indemnity agreement provided for in the preceding paragraphs of this Section 7 is unavailable to, or insufficient to hold harmless, an indemnified party in respect of any losses, claims, damages or liabilities (or actions in respect thereof) (other than for the reasons specified in Section 7(a) or 7(b) hereof, including by virtue of the failure of an indemnified party to notify the indemnifying party of its right to indemnification pursuant to paragraph (a) or (b) of this Section 7, where such failure materially prejudices the indemnifying party (through the forfeiture of substantial rights or defenses)), each indemnifying party, in order to provide for just and equitable contribution, shall contribute to the amount paid or payable by such indemnified party as a result of such losses, claims, damages or liabilities (or actions in respect thereof) in such proportion as is appropriate to reflect (i) the relative benefits received by the indemnifying party or parties, on the one hand, and the indemnified party, on the other, from the offering of the Securities, or (ii) if the allocation provided by the foregoing clause (i) is not permitted by applicable law, not only such relative benefits but also the relative fault of the indemnifying party or parties, on the one hand, and the indemnified party, on the other, in connection with the statements or omissions or alleged statements or omissions that resulted in such losses, claims, damages or liabilities (or actions in respect thereof). The relative benefits received by the Company, on the one hand, and the Participants, on the other, shall be deemed to be in the same proportion that the total net proceeds from the offering (before deducting expenses) of the Securities received by the Company bear to the total discounts and commissions received by the Participants in connection with the initial sale of the Securities by the Company (or if such Participant did not receive a discount from the Company with respect to the initial sale of the Securities by the Company, the net proceeds received by such Participant from the sale of Securities, Exchange Securities or Private Exchange Notes pursuant to such Registration Statement). The relative fault of the parties shall be determined by reference to, among other things, whether the untrue or alleged untrue statement of a material fact or the omission or alleged omission to state a material fact relates to information supplied by the Company, on the one hand, or the Participants, on the other hand, the parties’ relative intent, knowledge, access to information and opportunity to correct or prevent such statement or omission or alleged statement or omission, and any other equitable considerations appropriate in the circumstances. The parties agree that it would not be equitable if the amount of such contribution were determined by pro rata or per capita allocation or by any other method of allocation that does not take into account the equitable considerations referred to in the first sentence of this paragraph (e). Notwithstanding any other provision of this paragraph (e), no Participant shall be obligated to make contributions hereunder that in the aggregate exceed the total discounts, commissions and other compensation or net proceeds, as applicable, on the sale of Securities received by such Participant in connection with the sale of the Securities, less the aggregate amount of any damages that such Participant has otherwise been required to pay by reason of the untrue or alleged untrue statements or the omissions or alleged omissions to state a material fact, and no person guilty of fraudulent misrepresentation (within the meaning of Section 11(f) of the Securities Act) shall be entitled to contribution from any person who was not guilty of such fraudulent misrepresentation. For purposes of this paragraph (e), each person, if any, who controls a Participant within the meaning of Section 15 of the Securities Act or Section 20 of the Exchange Act shall have the same rights to contribution as the Participants, and each director, member or manager, as applicable, of the Company, each officer of the Company, and each person, if any, who controls the Company within the meaning of Section 15 of the Securities Act or Section 20 of the Exchange Act, shall have the same rights to contribution as the Company.</w:t>
      </w:r>
    </w:p>
    <w:p>
      <w:pPr>
        <w:spacing w:after="0" w:line="200" w:lineRule="exact"/>
        <w:rPr>
          <w:sz w:val="20"/>
          <w:szCs w:val="20"/>
          <w:color w:val="auto"/>
        </w:rPr>
      </w:pPr>
    </w:p>
    <w:p>
      <w:pPr>
        <w:spacing w:after="0" w:line="21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123" w:name="page124"/>
    <w:bookmarkEnd w:id="123"/>
    <w:p>
      <w:pPr>
        <w:ind w:left="180" w:hanging="172"/>
        <w:spacing w:after="0"/>
        <w:tabs>
          <w:tab w:leader="none" w:pos="1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RULE 144A</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Company covenants and agrees that it will use its commercially reasonable efforts to file the reports required to be filed by it under the Securities Act and the Exchange Act and the rules and regulations adopted by the SEC thereunder in a timely manner in accordance with the requirements of the Securities Act and the Exchange Act and, if at any time the Company is not required to file such reports and does not otherwise file such reports pursuant to the terms of the Indenture, the Company shall, upon the request of any Holder or beneficial owner of Transfer Restricted Securities, make available the information required by Rule 144A(d)(4) under the Securities Act in order to permit sales pursuant to Rule 144A.</w:t>
      </w:r>
    </w:p>
    <w:p>
      <w:pPr>
        <w:spacing w:after="0" w:line="179" w:lineRule="exact"/>
        <w:rPr>
          <w:sz w:val="20"/>
          <w:szCs w:val="20"/>
          <w:color w:val="auto"/>
        </w:rPr>
      </w:pPr>
    </w:p>
    <w:p>
      <w:pPr>
        <w:ind w:left="180" w:hanging="172"/>
        <w:spacing w:after="0"/>
        <w:tabs>
          <w:tab w:leader="none" w:pos="1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UNDERWRITTEN REGISTRATIONS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the Company shall not be required to assist in an underwritten offering of the Transfer Restricted Securities.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ind w:left="280" w:hanging="272"/>
        <w:spacing w:after="0"/>
        <w:tabs>
          <w:tab w:leader="none" w:pos="2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right="100" w:firstLine="656"/>
        <w:spacing w:after="0" w:line="281" w:lineRule="auto"/>
        <w:tabs>
          <w:tab w:leader="none" w:pos="892"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Inconsistent Agreements</w:t>
      </w:r>
      <w:r>
        <w:rPr>
          <w:rFonts w:ascii="Times New Roman" w:cs="Times New Roman" w:eastAsia="Times New Roman" w:hAnsi="Times New Roman"/>
          <w:sz w:val="17"/>
          <w:szCs w:val="17"/>
          <w:color w:val="auto"/>
        </w:rPr>
        <w:t>. The Company has not as of the date hereof entered, and the Company shall not after the date of this Agreement enter, into any agreement with respect to any of the Company’s securities that is inconsistent with the rights granted to the Holders of Transfer Restricted Securities in this Agreement or otherwise conflicts with the provisions hereof. The rights granted to the Holders hereunder do not in any way conflict with and are not inconsistent with the rights granted to the holders of the Company’s other issued and outstanding securities, if any, under any such agreements.</w:t>
      </w:r>
    </w:p>
    <w:p>
      <w:pPr>
        <w:spacing w:after="0" w:line="164" w:lineRule="exact"/>
        <w:rPr>
          <w:rFonts w:ascii="Times New Roman" w:cs="Times New Roman" w:eastAsia="Times New Roman" w:hAnsi="Times New Roman"/>
          <w:sz w:val="17"/>
          <w:szCs w:val="17"/>
          <w:color w:val="auto"/>
        </w:rPr>
      </w:pPr>
    </w:p>
    <w:p>
      <w:pPr>
        <w:ind w:right="200" w:firstLine="656"/>
        <w:spacing w:after="0" w:line="266" w:lineRule="auto"/>
        <w:tabs>
          <w:tab w:leader="none" w:pos="90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Affecting Transfer Restricted Securities</w:t>
      </w:r>
      <w:r>
        <w:rPr>
          <w:rFonts w:ascii="Times New Roman" w:cs="Times New Roman" w:eastAsia="Times New Roman" w:hAnsi="Times New Roman"/>
          <w:sz w:val="18"/>
          <w:szCs w:val="18"/>
          <w:color w:val="auto"/>
        </w:rPr>
        <w:t>. The Company shall not, directly or indirectly, take any action with respect to the Transfer Restricted Securities as a class that would adversely affect the ability of the Company to consummate the Exchange Offer on the terms specified herein or effect any Shelf Registration required by this Agreement.</w:t>
      </w:r>
    </w:p>
    <w:p>
      <w:pPr>
        <w:spacing w:after="0" w:line="175" w:lineRule="exact"/>
        <w:rPr>
          <w:rFonts w:ascii="Times New Roman" w:cs="Times New Roman" w:eastAsia="Times New Roman" w:hAnsi="Times New Roman"/>
          <w:sz w:val="18"/>
          <w:szCs w:val="18"/>
          <w:color w:val="auto"/>
        </w:rPr>
      </w:pPr>
    </w:p>
    <w:p>
      <w:pPr>
        <w:ind w:firstLine="656"/>
        <w:spacing w:after="0" w:line="252" w:lineRule="auto"/>
        <w:tabs>
          <w:tab w:leader="none" w:pos="89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may not be amended, modified or supplemented, and waivers or consents to departures from the provisions hereof may not be given, otherwise than with the prior written consent of (I) the Company, and (II) the Holders of not less than a majority in aggregate principal amount of the then outstanding Transfer Restricted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Section 7 hereof and this Section 10(c) may not be amended, modified or supplemented, the rate at which Additional Interest accrues pursuant to Section 4(a) hereof may not be reduced, and the time for payment of Additional Interest pursuant to Section 4(a) hereof may not be changed, in each case, without the prior written consent of each Holder (including any person who was a Holder of Transfer Restricted Securities or Exchange Securities disposed of pursuant to any Registration Statement) affected by any such amendment, modification or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consent is necessary from any Holder in the event that this Agreement is amended, modified or supplemented for the purpose of curing any ambiguity, defect or inconsistency that does not adversely affect the rights of any Holder, as determined by the Company in its reasonable discretion. Notwithstanding the foregoing, (A) a waiver or consent to depart from the provisions hereof with respect to a matter that relates exclusively to the rights of Holders whose Securities are being tendered pursuant to the Exchange Offer and that does not affect directly or indirectly the rights of other Holders whose Securities are not being tendered pursuant to such Exchange Offer may be given by the Holders of a majority of the outstanding principal amount of Transfer Restricted Securities being tendered or registered and (B) a waiver or consent to depart from the provisions hereof with respect to a matter that relates exclusively to the rights of Holders of Transfer Restricted Securities whose Securities are being sold pursuant to a Registration Statement and that does not directly or indirectly affect, impair, limit or compromise the rights of other Holders of Transfer Restricted Securities may be given by Holders of at least a majority in aggregate principal amount of the Transfer Restricted Securities being sold pursuant to such Registration Statement.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5" w:name="page126"/>
    <w:bookmarkEnd w:id="125"/>
    <w:p>
      <w:pPr>
        <w:ind w:firstLine="656"/>
        <w:spacing w:after="0" w:line="282" w:lineRule="auto"/>
        <w:tabs>
          <w:tab w:leader="none" w:pos="9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(including, without limitation, any notices or other communications to the Trustee) provided for or permitted hereunder shall be made in writing by hand-delivery, registered first-class mail, next-day air courier, facsimile or electronic mail:</w:t>
      </w:r>
    </w:p>
    <w:p>
      <w:pPr>
        <w:spacing w:after="0" w:line="162" w:lineRule="exact"/>
        <w:rPr>
          <w:sz w:val="20"/>
          <w:szCs w:val="20"/>
          <w:color w:val="auto"/>
        </w:rPr>
      </w:pPr>
    </w:p>
    <w:p>
      <w:pPr>
        <w:ind w:right="520" w:firstLine="656"/>
        <w:spacing w:after="0" w:line="266" w:lineRule="auto"/>
        <w:tabs>
          <w:tab w:leader="none" w:pos="86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Holder of the Transfer Restricted Securities or any Participating Broker-Dealer, at the most current address of such Holder or Participating Broker-Dealer, as the case may be, set forth on the records of the registrar under the Indenture, with a copy in like manner to the Dealer Managers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Liability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(866) 834-4666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JPM_LM@jpmorgan.com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Liability Management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(800) 558-3745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Global Debt Advisory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(800) 624-1808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 (212) 761-1057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Stelios Saffos, Erika Weinberg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Stelios.Saffos@lw.com; Erika.Weinberg@lw.com</w:t>
      </w:r>
    </w:p>
    <w:p>
      <w:pPr>
        <w:spacing w:after="0" w:line="207" w:lineRule="exact"/>
        <w:rPr>
          <w:sz w:val="20"/>
          <w:szCs w:val="20"/>
          <w:color w:val="auto"/>
        </w:rPr>
      </w:pPr>
    </w:p>
    <w:p>
      <w:pPr>
        <w:ind w:left="920" w:hanging="264"/>
        <w:spacing w:after="0"/>
        <w:tabs>
          <w:tab w:leader="none" w:pos="9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Dealer Managers, at the address specified in Section 10(d)(i) hereof;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at the address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619100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75261-9100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(972) 281-1200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1301 Pennsylvania Avenue,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Rachel W. Sheridan, P.C., Shagufa R. Hossain,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rachel.sheridan@kirkland.com; shagufa.hossain@kirkland.com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Asher Qazi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asher.qazi@kirkland.com</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All such notices and communications shall be deemed to have been duly given: when delivered by hand, if personally delivered; five Business Days after being deposited in the mail, postage prepaid, if mailed; one Business Day after being timely delivered to a next-day air courier; and upon receipt of confirmation, if sent by facsimile or electronic mail.</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Copies of all such notices, demands or other communications shall be concurrently delivered by the Person giving the same to the Trustee at the address and in the manner specified in such Indenture.</w:t>
      </w:r>
    </w:p>
    <w:p>
      <w:pPr>
        <w:spacing w:after="0" w:line="162" w:lineRule="exact"/>
        <w:rPr>
          <w:sz w:val="20"/>
          <w:szCs w:val="20"/>
          <w:color w:val="auto"/>
        </w:rPr>
      </w:pPr>
    </w:p>
    <w:p>
      <w:pPr>
        <w:ind w:right="120" w:firstLine="656"/>
        <w:spacing w:after="0" w:line="258" w:lineRule="auto"/>
        <w:tabs>
          <w:tab w:leader="none" w:pos="89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successors and permitted assigns of each of the parties, including, without limitation, and without the need for an express assignment, subsequent Holders of Transfer Restricted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Agreement shall not inure to the benefit of or be binding upon a successor or assign of a Holder unless and to the extent such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assign acquired Transfer Restricted Securities from such Holder;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nothing herein shall be deemed to permit any assignment, transfer or other disposition of Transfer Restricted Securities in violation of the terms of the Dealer Manager Agreement or the Indenture.</w:t>
      </w:r>
    </w:p>
    <w:p>
      <w:pPr>
        <w:spacing w:after="0" w:line="183" w:lineRule="exact"/>
        <w:rPr>
          <w:rFonts w:ascii="Times New Roman" w:cs="Times New Roman" w:eastAsia="Times New Roman" w:hAnsi="Times New Roman"/>
          <w:sz w:val="18"/>
          <w:szCs w:val="18"/>
          <w:color w:val="auto"/>
        </w:rPr>
      </w:pPr>
    </w:p>
    <w:p>
      <w:pPr>
        <w:ind w:firstLine="656"/>
        <w:spacing w:after="0" w:line="281" w:lineRule="auto"/>
        <w:tabs>
          <w:tab w:leader="none" w:pos="87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signed in one or more counterparts, each of which shall constitute an original and all of which together shall constitute one and the same agreement. Delivery of an executed counterpart of a signature page to this Agreement by telecopier, facsimile or other electronic transmission (i.e., a “pdf” or “tif”, including any electronic signature complying with the New York Electronic Signatures and Records Act (N.Y. State Tech. §§ 301 309), as amended from time to time, or other applicable law) shall be effective as delivery of a manually executed counterpart thereof.</w:t>
      </w:r>
    </w:p>
    <w:p>
      <w:pPr>
        <w:spacing w:after="0" w:line="164" w:lineRule="exact"/>
        <w:rPr>
          <w:rFonts w:ascii="Times New Roman" w:cs="Times New Roman" w:eastAsia="Times New Roman" w:hAnsi="Times New Roman"/>
          <w:sz w:val="17"/>
          <w:szCs w:val="17"/>
          <w:color w:val="auto"/>
        </w:rPr>
      </w:pPr>
    </w:p>
    <w:p>
      <w:pPr>
        <w:ind w:left="920" w:hanging="264"/>
        <w:spacing w:after="0"/>
        <w:tabs>
          <w:tab w:leader="none" w:pos="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of reference only and shall not limit or otherwise affect the meaning hereof.</w:t>
      </w:r>
    </w:p>
    <w:p>
      <w:pPr>
        <w:spacing w:after="0" w:line="225" w:lineRule="exact"/>
        <w:rPr>
          <w:rFonts w:ascii="Times New Roman" w:cs="Times New Roman" w:eastAsia="Times New Roman" w:hAnsi="Times New Roman"/>
          <w:sz w:val="18"/>
          <w:szCs w:val="18"/>
          <w:color w:val="auto"/>
        </w:rPr>
      </w:pPr>
    </w:p>
    <w:p>
      <w:pPr>
        <w:ind w:right="100" w:firstLine="656"/>
        <w:spacing w:after="0" w:line="266" w:lineRule="auto"/>
        <w:tabs>
          <w:tab w:leader="none" w:pos="90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EACH OF THE PARTIES HEREBY WAIVES ANY RIGHT TO TRIAL BY JURY IN ANY ACTION, PROCEEDING OR COUNTERCLAIM ARISING OUT OF OR RELATING TO THIS AGREEMENT.</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7" w:name="page128"/>
    <w:bookmarkEnd w:id="127"/>
    <w:p>
      <w:pPr>
        <w:ind w:left="-60" w:right="20" w:firstLine="656"/>
        <w:spacing w:after="0" w:line="256" w:lineRule="auto"/>
        <w:tabs>
          <w:tab w:leader="none" w:pos="80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respective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left="-60" w:right="40" w:firstLine="656"/>
        <w:spacing w:after="0" w:line="266" w:lineRule="auto"/>
        <w:tabs>
          <w:tab w:leader="none" w:pos="80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Held by the Company or Any of its Affiliates</w:t>
      </w:r>
      <w:r>
        <w:rPr>
          <w:rFonts w:ascii="Times New Roman" w:cs="Times New Roman" w:eastAsia="Times New Roman" w:hAnsi="Times New Roman"/>
          <w:sz w:val="18"/>
          <w:szCs w:val="18"/>
          <w:color w:val="auto"/>
        </w:rPr>
        <w:t>. Whenever the consent or approval of Holders of a specified percentage of Transfer Restricted Securities is required hereunder, Transfer Restricted Securities held by the Company or any of its controlled affiliates (as such term is defined in Rule 405) shall not be counted in determining whether such consent or approval was given by the Holders of such required percentage.</w:t>
      </w:r>
    </w:p>
    <w:p>
      <w:pPr>
        <w:spacing w:after="0" w:line="175" w:lineRule="exact"/>
        <w:rPr>
          <w:rFonts w:ascii="Times New Roman" w:cs="Times New Roman" w:eastAsia="Times New Roman" w:hAnsi="Times New Roman"/>
          <w:sz w:val="18"/>
          <w:szCs w:val="18"/>
          <w:color w:val="auto"/>
        </w:rPr>
      </w:pPr>
    </w:p>
    <w:p>
      <w:pPr>
        <w:ind w:left="-60" w:right="100" w:firstLine="656"/>
        <w:spacing w:after="0" w:line="282" w:lineRule="auto"/>
        <w:tabs>
          <w:tab w:leader="none" w:pos="84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Holders of Transfer Restricted Securities and Participating Broker-Dealers are intended third-party beneficiaries of this Agreement, and this Agreement may be enforced by such Persons to the extent necessary to protect the rights of the Holders hereunder.</w:t>
      </w:r>
    </w:p>
    <w:p>
      <w:pPr>
        <w:spacing w:after="0" w:line="161" w:lineRule="exact"/>
        <w:rPr>
          <w:rFonts w:ascii="Times New Roman" w:cs="Times New Roman" w:eastAsia="Times New Roman" w:hAnsi="Times New Roman"/>
          <w:sz w:val="18"/>
          <w:szCs w:val="18"/>
          <w:color w:val="auto"/>
        </w:rPr>
      </w:pPr>
    </w:p>
    <w:p>
      <w:pPr>
        <w:ind w:left="-60" w:firstLine="656"/>
        <w:spacing w:after="0" w:line="256" w:lineRule="auto"/>
        <w:tabs>
          <w:tab w:leader="none" w:pos="80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Dealer Manager Agreement and the Indenture, is intended by the parties as a final and exclusive statement of the agreement and understanding of the parties hereto in respect of the subject matter contained herein and therein and any and all prior oral or written agreements, representations, or warranties, contracts, understandings, correspondence, conversations and memoranda between the Holders and Dealer Managers, on the one hand, and the Company, on the other hand, or between or among any agents, representatives, parents, subsidiaries, affiliates, predecessors in interest or successors in interest with respect to the subject matter hereof and thereof are merged herein and replaced hereby.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80" w:top="904" w:right="3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KIMBERLY-CLARK CORPORATION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Flavio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Flavio Costa</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[Signature Page to Registration Rights Agreement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Som Bhattacharyya</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jc w:val="right"/>
        <w:ind w:right="2019"/>
        <w:spacing w:after="0"/>
        <w:rPr>
          <w:sz w:val="20"/>
          <w:szCs w:val="20"/>
          <w:color w:val="auto"/>
        </w:rPr>
      </w:pPr>
      <w:r>
        <w:rPr>
          <w:rFonts w:ascii="Times New Roman" w:cs="Times New Roman" w:eastAsia="Times New Roman" w:hAnsi="Times New Roman"/>
          <w:sz w:val="18"/>
          <w:szCs w:val="18"/>
          <w:color w:val="auto"/>
        </w:rPr>
        <w:t>[Signature Page to Registration Rights Agreement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0" w:name="page131"/>
    <w:bookmarkEnd w:id="130"/>
    <w:p>
      <w:pPr>
        <w:ind w:left="660"/>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Adam D. Bordner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right"/>
        <w:ind w:right="2019"/>
        <w:spacing w:after="0"/>
        <w:rPr>
          <w:sz w:val="20"/>
          <w:szCs w:val="20"/>
          <w:color w:val="auto"/>
        </w:rPr>
      </w:pPr>
      <w:r>
        <w:rPr>
          <w:rFonts w:ascii="Times New Roman" w:cs="Times New Roman" w:eastAsia="Times New Roman" w:hAnsi="Times New Roman"/>
          <w:sz w:val="18"/>
          <w:szCs w:val="18"/>
          <w:color w:val="auto"/>
        </w:rPr>
        <w:t>[Signature Page to Registration Rights Agreement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1" w:name="page132"/>
    <w:bookmarkEnd w:id="131"/>
    <w:p>
      <w:pPr>
        <w:ind w:left="660"/>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Jason Passafuime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Jason Passafuime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jc w:val="right"/>
        <w:ind w:right="2019"/>
        <w:spacing w:after="0"/>
        <w:rPr>
          <w:sz w:val="20"/>
          <w:szCs w:val="20"/>
          <w:color w:val="auto"/>
        </w:rPr>
      </w:pPr>
      <w:r>
        <w:rPr>
          <w:rFonts w:ascii="Times New Roman" w:cs="Times New Roman" w:eastAsia="Times New Roman" w:hAnsi="Times New Roman"/>
          <w:sz w:val="18"/>
          <w:szCs w:val="18"/>
          <w:color w:val="auto"/>
        </w:rPr>
        <w:t>[Signature Page to Registration Rights Agreement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2" w:name="page133"/>
    <w:bookmarkEnd w:id="132"/>
    <w:p>
      <w:pPr>
        <w:jc w:val="center"/>
        <w:ind w:right="-1120"/>
        <w:spacing w:after="0"/>
        <w:rPr>
          <w:sz w:val="20"/>
          <w:szCs w:val="20"/>
          <w:color w:val="auto"/>
        </w:rPr>
      </w:pPr>
      <w:r>
        <w:rPr>
          <w:rFonts w:ascii="Times New Roman" w:cs="Times New Roman" w:eastAsia="Times New Roman" w:hAnsi="Times New Roman"/>
          <w:sz w:val="18"/>
          <w:szCs w:val="18"/>
          <w:color w:val="auto"/>
        </w:rPr>
        <w:t>Schedule I</w:t>
      </w:r>
    </w:p>
    <w:p>
      <w:pPr>
        <w:spacing w:after="0" w:line="225"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18"/>
          <w:szCs w:val="18"/>
          <w:color w:val="auto"/>
        </w:rPr>
        <w:t>Co-Dealer Managers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Kimberly-Clark Corporation Announces Expiration and Final Results of Exchange Offers for Kenvue Notes</w:t>
      </w:r>
    </w:p>
    <w:p>
      <w:pPr>
        <w:spacing w:after="0" w:line="2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DALLAS, November 3, 2026 – </w:t>
      </w:r>
      <w:r>
        <w:rPr>
          <w:rFonts w:ascii="Times New Roman" w:cs="Times New Roman" w:eastAsia="Times New Roman" w:hAnsi="Times New Roman"/>
          <w:sz w:val="18"/>
          <w:szCs w:val="18"/>
          <w:color w:val="auto"/>
        </w:rPr>
        <w:t>Kimberly-Clark Corporation (NASDAQ: KMB) (“</w:t>
      </w:r>
      <w:r>
        <w:rPr>
          <w:rFonts w:ascii="Times New Roman" w:cs="Times New Roman" w:eastAsia="Times New Roman" w:hAnsi="Times New Roman"/>
          <w:sz w:val="18"/>
          <w:szCs w:val="18"/>
          <w:u w:val="single" w:color="auto"/>
          <w:color w:val="auto"/>
        </w:rPr>
        <w:t>Kimberly-Clark</w:t>
      </w:r>
      <w:r>
        <w:rPr>
          <w:rFonts w:ascii="Times New Roman" w:cs="Times New Roman" w:eastAsia="Times New Roman" w:hAnsi="Times New Roman"/>
          <w:sz w:val="18"/>
          <w:szCs w:val="18"/>
          <w:color w:val="auto"/>
        </w:rPr>
        <w:t>”) announced today the final results of the offers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(each an “</w:t>
      </w: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Exchange Offers</w:t>
      </w:r>
      <w:r>
        <w:rPr>
          <w:rFonts w:ascii="Times New Roman" w:cs="Times New Roman" w:eastAsia="Times New Roman" w:hAnsi="Times New Roman"/>
          <w:sz w:val="18"/>
          <w:szCs w:val="18"/>
          <w:color w:val="auto"/>
        </w:rPr>
        <w:t>”) any and all outstanding notes (the “</w:t>
      </w:r>
      <w:r>
        <w:rPr>
          <w:rFonts w:ascii="Times New Roman" w:cs="Times New Roman" w:eastAsia="Times New Roman" w:hAnsi="Times New Roman"/>
          <w:sz w:val="18"/>
          <w:szCs w:val="18"/>
          <w:u w:val="single" w:color="auto"/>
          <w:color w:val="auto"/>
        </w:rPr>
        <w:t>Kenvue Notes</w:t>
      </w:r>
      <w:r>
        <w:rPr>
          <w:rFonts w:ascii="Times New Roman" w:cs="Times New Roman" w:eastAsia="Times New Roman" w:hAnsi="Times New Roman"/>
          <w:sz w:val="18"/>
          <w:szCs w:val="18"/>
          <w:color w:val="auto"/>
        </w:rPr>
        <w:t>”) issued by Kenvue LLC (as successor in interest to Kenvue Inc.) (“</w:t>
      </w: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for up to $7,000,000,000 aggregate principal amount of new notes to be issued by Kimberly-Clark (the “</w:t>
      </w:r>
      <w:r>
        <w:rPr>
          <w:rFonts w:ascii="Times New Roman" w:cs="Times New Roman" w:eastAsia="Times New Roman" w:hAnsi="Times New Roman"/>
          <w:sz w:val="18"/>
          <w:szCs w:val="18"/>
          <w:u w:val="single" w:color="auto"/>
          <w:color w:val="auto"/>
        </w:rPr>
        <w:t>Kimberly-Clark Notes</w:t>
      </w:r>
      <w:r>
        <w:rPr>
          <w:rFonts w:ascii="Times New Roman" w:cs="Times New Roman" w:eastAsia="Times New Roman" w:hAnsi="Times New Roman"/>
          <w:sz w:val="18"/>
          <w:szCs w:val="18"/>
          <w:color w:val="auto"/>
        </w:rPr>
        <w:t>”) and cash and related consent solicitations (each, a “</w:t>
      </w:r>
      <w:r>
        <w:rPr>
          <w:rFonts w:ascii="Times New Roman" w:cs="Times New Roman" w:eastAsia="Times New Roman" w:hAnsi="Times New Roman"/>
          <w:sz w:val="18"/>
          <w:szCs w:val="18"/>
          <w:u w:val="single" w:color="auto"/>
          <w:color w:val="auto"/>
        </w:rPr>
        <w:t>Consent Solicitation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Consent Solicitations</w:t>
      </w:r>
      <w:r>
        <w:rPr>
          <w:rFonts w:ascii="Times New Roman" w:cs="Times New Roman" w:eastAsia="Times New Roman" w:hAnsi="Times New Roman"/>
          <w:sz w:val="18"/>
          <w:szCs w:val="18"/>
          <w:color w:val="auto"/>
        </w:rPr>
        <w:t>”) made by Kimberly-Clark on behalf of Kenvue to adopt certain amendments (the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to the indenture governing the Kenvue Notes (the “</w:t>
      </w: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The Exchange Offers and Consent Solicitations expired at 5:00 p.m., New York City time, on November 2, 2026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Expiration Date, the principal amounts of Kenvue Notes set forth in the table below had been validly tendered and not validly withdrawn: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231F20"/>
                <w:w w:val="99"/>
              </w:rPr>
              <w:t>Principal Amount</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231F20"/>
                <w:w w:val="97"/>
              </w:rPr>
              <w:t>Tendered</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231F20"/>
                <w:w w:val="99"/>
              </w:rPr>
              <w:t>Percentage of</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CUSIP/ISIN No.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231F20"/>
                <w:w w:val="99"/>
              </w:rPr>
              <w:t>as of 5:00 p.m.,</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231F20"/>
                <w:w w:val="99"/>
              </w:rPr>
              <w:t>Outstanding</w:t>
            </w:r>
          </w:p>
        </w:tc>
        <w:tc>
          <w:tcPr>
            <w:tcW w:w="0" w:type="dxa"/>
            <w:vAlign w:val="bottom"/>
          </w:tcPr>
          <w:p>
            <w:pPr>
              <w:spacing w:after="0"/>
              <w:rPr>
                <w:sz w:val="1"/>
                <w:szCs w:val="1"/>
                <w:color w:val="auto"/>
              </w:rPr>
            </w:pPr>
          </w:p>
        </w:tc>
      </w:tr>
      <w:tr>
        <w:trPr>
          <w:trHeight w:val="184"/>
        </w:trPr>
        <w:tc>
          <w:tcPr>
            <w:tcW w:w="23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231F20"/>
                <w:w w:val="99"/>
              </w:rPr>
              <w:t>Title of Series of Kenvue</w:t>
            </w:r>
          </w:p>
        </w:tc>
        <w:tc>
          <w:tcPr>
            <w:tcW w:w="2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right"/>
              <w:ind w:right="540"/>
              <w:spacing w:after="0" w:line="184" w:lineRule="exact"/>
              <w:rPr>
                <w:sz w:val="20"/>
                <w:szCs w:val="20"/>
                <w:color w:val="auto"/>
              </w:rPr>
            </w:pPr>
            <w:r>
              <w:rPr>
                <w:rFonts w:ascii="Times New Roman" w:cs="Times New Roman" w:eastAsia="Times New Roman" w:hAnsi="Times New Roman"/>
                <w:sz w:val="18"/>
                <w:szCs w:val="18"/>
                <w:b w:val="1"/>
                <w:bCs w:val="1"/>
                <w:color w:val="231F20"/>
              </w:rPr>
              <w:t>Principal Amount</w:t>
            </w:r>
          </w:p>
        </w:tc>
        <w:tc>
          <w:tcPr>
            <w:tcW w:w="140" w:type="dxa"/>
            <w:vAlign w:val="bottom"/>
          </w:tcPr>
          <w:p>
            <w:pPr>
              <w:spacing w:after="0"/>
              <w:rPr>
                <w:sz w:val="16"/>
                <w:szCs w:val="16"/>
                <w:color w:val="auto"/>
              </w:rPr>
            </w:pPr>
          </w:p>
        </w:tc>
        <w:tc>
          <w:tcPr>
            <w:tcW w:w="2080" w:type="dxa"/>
            <w:vAlign w:val="bottom"/>
            <w:gridSpan w:val="2"/>
          </w:tcPr>
          <w:p>
            <w:pPr>
              <w:jc w:val="center"/>
              <w:ind w:right="360"/>
              <w:spacing w:after="0" w:line="184" w:lineRule="exact"/>
              <w:rPr>
                <w:sz w:val="20"/>
                <w:szCs w:val="20"/>
                <w:color w:val="auto"/>
              </w:rPr>
            </w:pPr>
            <w:r>
              <w:rPr>
                <w:rFonts w:ascii="Times New Roman" w:cs="Times New Roman" w:eastAsia="Times New Roman" w:hAnsi="Times New Roman"/>
                <w:sz w:val="18"/>
                <w:szCs w:val="18"/>
                <w:b w:val="1"/>
                <w:bCs w:val="1"/>
                <w:color w:val="231F20"/>
                <w:w w:val="98"/>
              </w:rPr>
              <w:t>New York City time,</w:t>
            </w:r>
          </w:p>
        </w:tc>
        <w:tc>
          <w:tcPr>
            <w:tcW w:w="218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231F20"/>
                <w:w w:val="99"/>
              </w:rPr>
              <w:t>Principal Amount</w:t>
            </w:r>
          </w:p>
        </w:tc>
        <w:tc>
          <w:tcPr>
            <w:tcW w:w="0" w:type="dxa"/>
            <w:vAlign w:val="bottom"/>
          </w:tcPr>
          <w:p>
            <w:pPr>
              <w:spacing w:after="0"/>
              <w:rPr>
                <w:sz w:val="1"/>
                <w:szCs w:val="1"/>
                <w:color w:val="auto"/>
              </w:rPr>
            </w:pPr>
          </w:p>
        </w:tc>
      </w:tr>
      <w:tr>
        <w:trPr>
          <w:trHeight w:val="277"/>
        </w:trPr>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31F20"/>
              </w:rPr>
              <w:t>Notes</w:t>
            </w:r>
          </w:p>
        </w:tc>
        <w:tc>
          <w:tcPr>
            <w:tcW w:w="21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231F20"/>
                <w:w w:val="96"/>
              </w:rPr>
              <w:t>Kenvue Notes</w:t>
            </w:r>
            <w:r>
              <w:rPr>
                <w:rFonts w:ascii="Times New Roman" w:cs="Times New Roman" w:eastAsia="Times New Roman" w:hAnsi="Times New Roman"/>
                <w:sz w:val="29"/>
                <w:szCs w:val="29"/>
                <w:b w:val="1"/>
                <w:bCs w:val="1"/>
                <w:color w:val="231F20"/>
                <w:w w:val="96"/>
                <w:vertAlign w:val="superscript"/>
              </w:rPr>
              <w:t>(1)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231F20"/>
              </w:rPr>
              <w:t>Outstanding</w:t>
            </w:r>
          </w:p>
        </w:tc>
        <w:tc>
          <w:tcPr>
            <w:tcW w:w="140" w:type="dxa"/>
            <w:vAlign w:val="bottom"/>
          </w:tcPr>
          <w:p>
            <w:pPr>
              <w:spacing w:after="0"/>
              <w:rPr>
                <w:sz w:val="24"/>
                <w:szCs w:val="24"/>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231F20"/>
                <w:w w:val="99"/>
              </w:rPr>
              <w:t>on November 2, 2026</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231F20"/>
                <w:w w:val="97"/>
              </w:rPr>
              <w:t>Tendered</w:t>
            </w:r>
          </w:p>
        </w:tc>
        <w:tc>
          <w:tcPr>
            <w:tcW w:w="0" w:type="dxa"/>
            <w:vAlign w:val="bottom"/>
          </w:tcPr>
          <w:p>
            <w:pPr>
              <w:spacing w:after="0"/>
              <w:rPr>
                <w:sz w:val="1"/>
                <w:szCs w:val="1"/>
                <w:color w:val="auto"/>
              </w:rPr>
            </w:pPr>
          </w:p>
        </w:tc>
      </w:tr>
      <w:tr>
        <w:trPr>
          <w:trHeight w:val="185"/>
        </w:trPr>
        <w:tc>
          <w:tcPr>
            <w:tcW w:w="2260" w:type="dxa"/>
            <w:vAlign w:val="bottom"/>
            <w:tcBorders>
              <w:top w:val="single" w:sz="8" w:color="auto"/>
            </w:tcBorders>
            <w:shd w:val="clear" w:color="auto" w:fill="CCEEFF"/>
          </w:tcPr>
          <w:p>
            <w:pPr>
              <w:jc w:val="center"/>
              <w:ind w:left="10"/>
              <w:spacing w:after="0" w:line="185" w:lineRule="exact"/>
              <w:rPr>
                <w:sz w:val="20"/>
                <w:szCs w:val="20"/>
                <w:color w:val="auto"/>
              </w:rPr>
            </w:pPr>
            <w:r>
              <w:rPr>
                <w:rFonts w:ascii="Times New Roman" w:cs="Times New Roman" w:eastAsia="Times New Roman" w:hAnsi="Times New Roman"/>
                <w:sz w:val="18"/>
                <w:szCs w:val="18"/>
                <w:color w:val="231F20"/>
                <w:w w:val="99"/>
              </w:rPr>
              <w:t>5.050% Senior Notes due</w:t>
            </w:r>
          </w:p>
        </w:tc>
        <w:tc>
          <w:tcPr>
            <w:tcW w:w="12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CCEEFF"/>
            </w:tcBorders>
            <w:shd w:val="clear" w:color="auto" w:fill="CCEEFF"/>
          </w:tcPr>
          <w:p>
            <w:pPr>
              <w:jc w:val="center"/>
              <w:ind w:left="10"/>
              <w:spacing w:after="0" w:line="185" w:lineRule="exact"/>
              <w:rPr>
                <w:sz w:val="20"/>
                <w:szCs w:val="20"/>
                <w:color w:val="auto"/>
              </w:rPr>
            </w:pPr>
            <w:r>
              <w:rPr>
                <w:rFonts w:ascii="Times New Roman" w:cs="Times New Roman" w:eastAsia="Times New Roman" w:hAnsi="Times New Roman"/>
                <w:sz w:val="18"/>
                <w:szCs w:val="18"/>
                <w:color w:val="231F20"/>
              </w:rPr>
              <w:t>49177JAF9 /</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231F20"/>
                <w:w w:val="99"/>
              </w:rPr>
              <w:t>2028</w:t>
            </w:r>
          </w:p>
        </w:tc>
        <w:tc>
          <w:tcPr>
            <w:tcW w:w="120" w:type="dxa"/>
            <w:vAlign w:val="bottom"/>
            <w:shd w:val="clear" w:color="auto" w:fill="CCEEFF"/>
          </w:tcPr>
          <w:p>
            <w:pPr>
              <w:spacing w:after="0"/>
              <w:rPr>
                <w:sz w:val="20"/>
                <w:szCs w:val="20"/>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US49177JAF93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1,000,000,000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2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231F20"/>
              </w:rPr>
              <w:t>739,347,000</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73.93%</w:t>
            </w:r>
          </w:p>
        </w:tc>
        <w:tc>
          <w:tcPr>
            <w:tcW w:w="0" w:type="dxa"/>
            <w:vAlign w:val="bottom"/>
          </w:tcPr>
          <w:p>
            <w:pPr>
              <w:spacing w:after="0"/>
              <w:rPr>
                <w:sz w:val="1"/>
                <w:szCs w:val="1"/>
                <w:color w:val="auto"/>
              </w:rPr>
            </w:pPr>
          </w:p>
        </w:tc>
      </w:tr>
      <w:tr>
        <w:trPr>
          <w:trHeight w:val="198"/>
        </w:trPr>
        <w:tc>
          <w:tcPr>
            <w:tcW w:w="2380" w:type="dxa"/>
            <w:vAlign w:val="bottom"/>
            <w:gridSpan w:val="2"/>
          </w:tcPr>
          <w:p>
            <w:pPr>
              <w:jc w:val="center"/>
              <w:ind w:right="20"/>
              <w:spacing w:after="0" w:line="198" w:lineRule="exact"/>
              <w:rPr>
                <w:sz w:val="20"/>
                <w:szCs w:val="20"/>
                <w:color w:val="auto"/>
              </w:rPr>
            </w:pPr>
            <w:r>
              <w:rPr>
                <w:rFonts w:ascii="Times New Roman" w:cs="Times New Roman" w:eastAsia="Times New Roman" w:hAnsi="Times New Roman"/>
                <w:sz w:val="18"/>
                <w:szCs w:val="18"/>
                <w:color w:val="231F20"/>
                <w:w w:val="99"/>
              </w:rPr>
              <w:t>5.000% Senior Notes due</w:t>
            </w:r>
          </w:p>
        </w:tc>
        <w:tc>
          <w:tcPr>
            <w:tcW w:w="212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231F20"/>
              </w:rPr>
              <w:t>49177JAH5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31F20"/>
                <w:w w:val="99"/>
              </w:rPr>
              <w:t>2030</w:t>
            </w:r>
          </w:p>
        </w:tc>
        <w:tc>
          <w:tcPr>
            <w:tcW w:w="120" w:type="dxa"/>
            <w:vAlign w:val="bottom"/>
          </w:tcPr>
          <w:p>
            <w:pPr>
              <w:spacing w:after="0"/>
              <w:rPr>
                <w:sz w:val="20"/>
                <w:szCs w:val="20"/>
                <w:color w:val="auto"/>
              </w:rPr>
            </w:pPr>
          </w:p>
        </w:tc>
        <w:tc>
          <w:tcPr>
            <w:tcW w:w="2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31F20"/>
                <w:w w:val="99"/>
              </w:rPr>
              <w:t>US49177JAH59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1,000,000,000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2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846,989,000</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84.70%</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jc w:val="center"/>
              <w:ind w:right="20"/>
              <w:spacing w:after="0" w:line="198" w:lineRule="exact"/>
              <w:rPr>
                <w:sz w:val="20"/>
                <w:szCs w:val="20"/>
                <w:color w:val="auto"/>
              </w:rPr>
            </w:pPr>
            <w:r>
              <w:rPr>
                <w:rFonts w:ascii="Times New Roman" w:cs="Times New Roman" w:eastAsia="Times New Roman" w:hAnsi="Times New Roman"/>
                <w:sz w:val="18"/>
                <w:szCs w:val="18"/>
                <w:color w:val="231F20"/>
                <w:w w:val="99"/>
              </w:rPr>
              <w:t>4.850% Senior Notes due</w:t>
            </w:r>
          </w:p>
        </w:tc>
        <w:tc>
          <w:tcPr>
            <w:tcW w:w="212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231F20"/>
              </w:rPr>
              <w:t>49177JAS1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231F20"/>
                <w:w w:val="99"/>
              </w:rPr>
              <w:t>2032</w:t>
            </w:r>
          </w:p>
        </w:tc>
        <w:tc>
          <w:tcPr>
            <w:tcW w:w="120" w:type="dxa"/>
            <w:vAlign w:val="bottom"/>
            <w:shd w:val="clear" w:color="auto" w:fill="CCEEFF"/>
          </w:tcPr>
          <w:p>
            <w:pPr>
              <w:spacing w:after="0"/>
              <w:rPr>
                <w:sz w:val="20"/>
                <w:szCs w:val="20"/>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US49177JAS15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750,000,000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2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231F20"/>
              </w:rPr>
              <w:t>702,706,000</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93.69%</w:t>
            </w:r>
          </w:p>
        </w:tc>
        <w:tc>
          <w:tcPr>
            <w:tcW w:w="0" w:type="dxa"/>
            <w:vAlign w:val="bottom"/>
          </w:tcPr>
          <w:p>
            <w:pPr>
              <w:spacing w:after="0"/>
              <w:rPr>
                <w:sz w:val="1"/>
                <w:szCs w:val="1"/>
                <w:color w:val="auto"/>
              </w:rPr>
            </w:pPr>
          </w:p>
        </w:tc>
      </w:tr>
      <w:tr>
        <w:trPr>
          <w:trHeight w:val="198"/>
        </w:trPr>
        <w:tc>
          <w:tcPr>
            <w:tcW w:w="2380" w:type="dxa"/>
            <w:vAlign w:val="bottom"/>
            <w:gridSpan w:val="2"/>
          </w:tcPr>
          <w:p>
            <w:pPr>
              <w:jc w:val="center"/>
              <w:ind w:right="20"/>
              <w:spacing w:after="0" w:line="198" w:lineRule="exact"/>
              <w:rPr>
                <w:sz w:val="20"/>
                <w:szCs w:val="20"/>
                <w:color w:val="auto"/>
              </w:rPr>
            </w:pPr>
            <w:r>
              <w:rPr>
                <w:rFonts w:ascii="Times New Roman" w:cs="Times New Roman" w:eastAsia="Times New Roman" w:hAnsi="Times New Roman"/>
                <w:sz w:val="18"/>
                <w:szCs w:val="18"/>
                <w:color w:val="231F20"/>
                <w:w w:val="99"/>
              </w:rPr>
              <w:t>4.900% Senior Notes due</w:t>
            </w:r>
          </w:p>
        </w:tc>
        <w:tc>
          <w:tcPr>
            <w:tcW w:w="212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231F20"/>
              </w:rPr>
              <w:t>49177JAK8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31F20"/>
                <w:w w:val="99"/>
              </w:rPr>
              <w:t>2033</w:t>
            </w:r>
          </w:p>
        </w:tc>
        <w:tc>
          <w:tcPr>
            <w:tcW w:w="120" w:type="dxa"/>
            <w:vAlign w:val="bottom"/>
          </w:tcPr>
          <w:p>
            <w:pPr>
              <w:spacing w:after="0"/>
              <w:rPr>
                <w:sz w:val="20"/>
                <w:szCs w:val="20"/>
                <w:color w:val="auto"/>
              </w:rPr>
            </w:pPr>
          </w:p>
        </w:tc>
        <w:tc>
          <w:tcPr>
            <w:tcW w:w="2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31F20"/>
                <w:w w:val="99"/>
              </w:rPr>
              <w:t>US49177JAK88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1,250,000,000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2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1,152,617,000</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92.21%</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jc w:val="center"/>
              <w:ind w:right="20"/>
              <w:spacing w:after="0" w:line="198" w:lineRule="exact"/>
              <w:rPr>
                <w:sz w:val="20"/>
                <w:szCs w:val="20"/>
                <w:color w:val="auto"/>
              </w:rPr>
            </w:pPr>
            <w:r>
              <w:rPr>
                <w:rFonts w:ascii="Times New Roman" w:cs="Times New Roman" w:eastAsia="Times New Roman" w:hAnsi="Times New Roman"/>
                <w:sz w:val="18"/>
                <w:szCs w:val="18"/>
                <w:color w:val="231F20"/>
                <w:w w:val="99"/>
              </w:rPr>
              <w:t>5.100% Senior Notes due</w:t>
            </w:r>
          </w:p>
        </w:tc>
        <w:tc>
          <w:tcPr>
            <w:tcW w:w="212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231F20"/>
                <w:w w:val="98"/>
              </w:rPr>
              <w:t>49177JAM4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231F20"/>
                <w:w w:val="99"/>
              </w:rPr>
              <w:t>2043</w:t>
            </w:r>
          </w:p>
        </w:tc>
        <w:tc>
          <w:tcPr>
            <w:tcW w:w="120" w:type="dxa"/>
            <w:vAlign w:val="bottom"/>
            <w:shd w:val="clear" w:color="auto" w:fill="CCEEFF"/>
          </w:tcPr>
          <w:p>
            <w:pPr>
              <w:spacing w:after="0"/>
              <w:rPr>
                <w:sz w:val="20"/>
                <w:szCs w:val="20"/>
                <w:color w:val="auto"/>
              </w:rPr>
            </w:pPr>
          </w:p>
        </w:tc>
        <w:tc>
          <w:tcPr>
            <w:tcW w:w="2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231F20"/>
                <w:w w:val="99"/>
              </w:rPr>
              <w:t>US49177JAM45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750,000,000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2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231F20"/>
              </w:rPr>
              <w:t>728,377,000</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97.12%</w:t>
            </w:r>
          </w:p>
        </w:tc>
        <w:tc>
          <w:tcPr>
            <w:tcW w:w="0" w:type="dxa"/>
            <w:vAlign w:val="bottom"/>
          </w:tcPr>
          <w:p>
            <w:pPr>
              <w:spacing w:after="0"/>
              <w:rPr>
                <w:sz w:val="1"/>
                <w:szCs w:val="1"/>
                <w:color w:val="auto"/>
              </w:rPr>
            </w:pPr>
          </w:p>
        </w:tc>
      </w:tr>
      <w:tr>
        <w:trPr>
          <w:trHeight w:val="198"/>
        </w:trPr>
        <w:tc>
          <w:tcPr>
            <w:tcW w:w="2380" w:type="dxa"/>
            <w:vAlign w:val="bottom"/>
            <w:gridSpan w:val="2"/>
          </w:tcPr>
          <w:p>
            <w:pPr>
              <w:jc w:val="center"/>
              <w:ind w:right="20"/>
              <w:spacing w:after="0" w:line="198" w:lineRule="exact"/>
              <w:rPr>
                <w:sz w:val="20"/>
                <w:szCs w:val="20"/>
                <w:color w:val="auto"/>
              </w:rPr>
            </w:pPr>
            <w:r>
              <w:rPr>
                <w:rFonts w:ascii="Times New Roman" w:cs="Times New Roman" w:eastAsia="Times New Roman" w:hAnsi="Times New Roman"/>
                <w:sz w:val="18"/>
                <w:szCs w:val="18"/>
                <w:color w:val="231F20"/>
                <w:w w:val="99"/>
              </w:rPr>
              <w:t>5.050% Senior Notes due</w:t>
            </w:r>
          </w:p>
        </w:tc>
        <w:tc>
          <w:tcPr>
            <w:tcW w:w="212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231F20"/>
              </w:rPr>
              <w:t>49177JAP7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31F20"/>
                <w:w w:val="99"/>
              </w:rPr>
              <w:t>2053</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US49177JAP75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1,500,000,000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2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1,478,073,000</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98.54%</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jc w:val="center"/>
              <w:ind w:right="20"/>
              <w:spacing w:after="0" w:line="198" w:lineRule="exact"/>
              <w:rPr>
                <w:sz w:val="20"/>
                <w:szCs w:val="20"/>
                <w:color w:val="auto"/>
              </w:rPr>
            </w:pPr>
            <w:r>
              <w:rPr>
                <w:rFonts w:ascii="Times New Roman" w:cs="Times New Roman" w:eastAsia="Times New Roman" w:hAnsi="Times New Roman"/>
                <w:sz w:val="18"/>
                <w:szCs w:val="18"/>
                <w:color w:val="231F20"/>
                <w:w w:val="99"/>
              </w:rPr>
              <w:t>5.200% Senior Notes due</w:t>
            </w:r>
          </w:p>
        </w:tc>
        <w:tc>
          <w:tcPr>
            <w:tcW w:w="212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231F20"/>
                <w:w w:val="98"/>
              </w:rPr>
              <w:t>49177JAR3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231F20"/>
                <w:w w:val="99"/>
              </w:rPr>
              <w:t>2063</w:t>
            </w:r>
          </w:p>
        </w:tc>
        <w:tc>
          <w:tcPr>
            <w:tcW w:w="120" w:type="dxa"/>
            <w:vAlign w:val="bottom"/>
            <w:shd w:val="clear" w:color="auto" w:fill="CCEEFF"/>
          </w:tcPr>
          <w:p>
            <w:pPr>
              <w:spacing w:after="0"/>
              <w:rPr>
                <w:sz w:val="20"/>
                <w:szCs w:val="20"/>
                <w:color w:val="auto"/>
              </w:rPr>
            </w:pPr>
          </w:p>
        </w:tc>
        <w:tc>
          <w:tcPr>
            <w:tcW w:w="2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231F20"/>
                <w:w w:val="99"/>
              </w:rPr>
              <w:t>US49177JAR32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750,000,000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2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231F20"/>
              </w:rPr>
              <w:t>727,930,000</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97.06%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 is made as to the correctness or accuracy of the CUSIP numbers listed in this press release or printed on the Kenvue Notes. Such CUSIP numbers are provided solely for the convenience of the holders of Kenvue Notes.</w:t>
      </w:r>
    </w:p>
    <w:p>
      <w:pPr>
        <w:spacing w:after="0" w:line="1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Exchange Offers and Consent Solicitations were made pursuant to the terms and subject to the conditions set forth in the confidential offering memorandum and consent solicitation statement dated September 28, 2026 (as amended from time to time, the “</w:t>
      </w:r>
      <w:r>
        <w:rPr>
          <w:rFonts w:ascii="Times New Roman" w:cs="Times New Roman" w:eastAsia="Times New Roman" w:hAnsi="Times New Roman"/>
          <w:sz w:val="18"/>
          <w:szCs w:val="18"/>
          <w:u w:val="single" w:color="auto"/>
          <w:color w:val="auto"/>
        </w:rPr>
        <w:t>Offering Memorandum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5:00 p.m., New York City time, on October 9, 2026 (the “</w:t>
      </w:r>
      <w:r>
        <w:rPr>
          <w:rFonts w:ascii="Times New Roman" w:cs="Times New Roman" w:eastAsia="Times New Roman" w:hAnsi="Times New Roman"/>
          <w:sz w:val="18"/>
          <w:szCs w:val="18"/>
          <w:u w:val="single" w:color="auto"/>
          <w:color w:val="auto"/>
        </w:rPr>
        <w:t>Early Participation Date</w:t>
      </w:r>
      <w:r>
        <w:rPr>
          <w:rFonts w:ascii="Times New Roman" w:cs="Times New Roman" w:eastAsia="Times New Roman" w:hAnsi="Times New Roman"/>
          <w:sz w:val="18"/>
          <w:szCs w:val="18"/>
          <w:color w:val="auto"/>
        </w:rPr>
        <w:t>”), requisite consents were received for adopting the Amendments and a supplemental indenture to the Kenvue Indenture containing the Amendments was executed. The Amendments will become operative only upon settlement of the Exchange Offers, which is expected to occur on November 4, 2026 (the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 each $1,000 principal amount of Kenvue Notes validly tendered (and not validly withdrawn before the Early Participation Date) and accepted by Kimberly-Clark (i) at or prior to 5:00 p.m., New York City time, on the Early Participation Date, participating holders of such Kenvue Notes were eligible to receive $970 in principal amount of Kimberly-Clark Notes (the “</w:t>
      </w:r>
      <w:r>
        <w:rPr>
          <w:rFonts w:ascii="Times New Roman" w:cs="Times New Roman" w:eastAsia="Times New Roman" w:hAnsi="Times New Roman"/>
          <w:sz w:val="18"/>
          <w:szCs w:val="18"/>
          <w:u w:val="single" w:color="auto"/>
          <w:color w:val="auto"/>
        </w:rPr>
        <w:t>Exchange Consideration</w:t>
      </w:r>
      <w:r>
        <w:rPr>
          <w:rFonts w:ascii="Times New Roman" w:cs="Times New Roman" w:eastAsia="Times New Roman" w:hAnsi="Times New Roman"/>
          <w:sz w:val="18"/>
          <w:szCs w:val="18"/>
          <w:color w:val="auto"/>
        </w:rPr>
        <w:t>”), an early participation premium, payable in principal amount of Kimberly-Clark Notes, of $30 (the “</w:t>
      </w:r>
      <w:r>
        <w:rPr>
          <w:rFonts w:ascii="Times New Roman" w:cs="Times New Roman" w:eastAsia="Times New Roman" w:hAnsi="Times New Roman"/>
          <w:sz w:val="18"/>
          <w:szCs w:val="18"/>
          <w:u w:val="single" w:color="auto"/>
          <w:color w:val="auto"/>
        </w:rPr>
        <w:t>Premium</w:t>
      </w:r>
      <w:r>
        <w:rPr>
          <w:rFonts w:ascii="Times New Roman" w:cs="Times New Roman" w:eastAsia="Times New Roman" w:hAnsi="Times New Roman"/>
          <w:sz w:val="18"/>
          <w:szCs w:val="18"/>
          <w:color w:val="auto"/>
        </w:rPr>
        <w:t>”), and $1.00 in cash (the “</w:t>
      </w:r>
      <w:r>
        <w:rPr>
          <w:rFonts w:ascii="Times New Roman" w:cs="Times New Roman" w:eastAsia="Times New Roman" w:hAnsi="Times New Roman"/>
          <w:sz w:val="18"/>
          <w:szCs w:val="18"/>
          <w:u w:val="single" w:color="auto"/>
          <w:color w:val="auto"/>
        </w:rPr>
        <w:t>Cash Payment</w:t>
      </w:r>
      <w:r>
        <w:rPr>
          <w:rFonts w:ascii="Times New Roman" w:cs="Times New Roman" w:eastAsia="Times New Roman" w:hAnsi="Times New Roman"/>
          <w:sz w:val="18"/>
          <w:szCs w:val="18"/>
          <w:color w:val="auto"/>
        </w:rPr>
        <w:t>”) and (ii) after 5:00 p.m., New York City time, on the Early Participation Date but at any time at or prior to the Expiration Date, participating holders of such Kenvue Notes were eligible receive the Exchange Consideration and the Premium. The Premium and the Cash Payment will be paid on the Settlement Date to the noteholder of record on the Expiration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4" w:name="page135"/>
    <w:bookmarkEnd w:id="134"/>
    <w:p>
      <w:pPr>
        <w:ind w:right="40"/>
        <w:spacing w:after="0" w:line="282" w:lineRule="auto"/>
        <w:rPr>
          <w:sz w:val="20"/>
          <w:szCs w:val="20"/>
          <w:color w:val="auto"/>
        </w:rPr>
      </w:pPr>
      <w:r>
        <w:rPr>
          <w:rFonts w:ascii="Times New Roman" w:cs="Times New Roman" w:eastAsia="Times New Roman" w:hAnsi="Times New Roman"/>
          <w:sz w:val="18"/>
          <w:szCs w:val="18"/>
          <w:color w:val="auto"/>
        </w:rPr>
        <w:t>The Kimberly-Clark Notes will be issued in minimum denominations of $2,000 and integral multiples of $1,000 in excess thereof. Kimberly-Clark will not accept any tender that would result in the issuance of less than $2,000 principal amount of any series of Kimberly-Clark Notes.</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Each series of Kimberly-Clark Notes will have the same interest rate, interest payment dates, maturity date and optional redemption prices as the corresponding series of Kenvue Notes. No accrued and unpaid interest is payable upon acceptance of any Kenvue Notes for exchange in the Exchange Offers and Consent Solicitations. However, the first interest payment on any Kimberly-Clark Notes will include the accrued and unpaid interest on the Kenvue Notes tendered in exchange therefor so that a tendering Eligible Holder (as defined below) will receive the same interest payment it would have received had its Kenvue Notes not been tendered in the Exchange Offers and Consent Solicitations. For the avoidance of doubt, Kenvue will remain responsible for paying any interest that accrues on any Kenvue Notes and is payable on any interest payment date occurring prior to the Settlement Date, as well as any interest that is required to be paid on Kenvue Notes that remain outstanding following the Settlement Date. The Kimberly-Clark Notes will be general, unsecured senior obligations of Kimberly-Clark and will rank equally in right of payment with all of Kimberly-Clark’s existing and future unsecured senior indebtedness, liabilities and other obligations and will be effectively subordinated to all of Kimberly-Clark’s existing and future secured indebtedness to the extent of the value of the assets securing such indebtedness.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Kimberly-Clark Notes have not been registered under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securities laws of any state or any other jurisdiction. Unless registered, the Kimberly-Clark Notes may not be offered or sold within the United States or to, or for the account or benefit of, U.S. persons except pursuant to an exemption from, or in a transaction not subject to, the registration requirements of the Securities Act. The Exchange Offers and Consent Solicitations were only made, and the Kimberly-Clark Notes were only offered and will only be issued, (a) to persons reasonably believed to be “qualified institutional buyers” (as defined in Rule 144A under the Securities Act) in compliance with Rule 144A under the Securities Act and (b) outside the United States to non-U.S. persons in compliance with Regulation S under the Securities Act, and (if a resident in a member state of the European Economic Area) such person is not a “EEA retail investor” or (if a resident in the United Kingdom) such person is not a “UK retail investor” (as defined in the Offering Memorandum) or (if resident in Canada) it is a “non-U.S. Canadian qualified offeree” (such persons, “</w:t>
      </w:r>
      <w:r>
        <w:rPr>
          <w:rFonts w:ascii="Times New Roman" w:cs="Times New Roman" w:eastAsia="Times New Roman" w:hAnsi="Times New Roman"/>
          <w:sz w:val="18"/>
          <w:szCs w:val="18"/>
          <w:u w:val="single" w:color="auto"/>
          <w:color w:val="auto"/>
        </w:rPr>
        <w:t>Eligible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Eligible Holders who are located or resident outside of the United States may be subject to other eligibility criteria. Only Eligible Holders who properly completed and returned the eligibility letter were authorized to participate in the Exchange Offers.</w:t>
      </w:r>
    </w:p>
    <w:p>
      <w:pPr>
        <w:spacing w:after="0" w:line="1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Exchange Offers and Consent Solicitations were made only pursuant to the Offering Memorandum. The Exchange Offers were not made to holders of Kenvue Notes in any jurisdiction in which the making or acceptance thereof would not be in compliance with the securities, blue sky or other laws of such jurisdiction. The Kimberly-Clark Notes have not been approved or disapproved by any regulatory authority, nor has any such authority passed upon the accuracy or adequacy of the Offering Memorandum.</w:t>
      </w:r>
    </w:p>
    <w:p>
      <w:pPr>
        <w:spacing w:after="0" w:line="178"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This press release does not constitute an offer to sell or purchase, or a solicitation of an offer to sell or purchase, or the solicitation of tenders or consents with respect to, any security in any jurisdiction in which such offer, solicitation, or sale would be unlawful prior to registration or qualification under the securities laws of any such jurisdiction.</w:t>
      </w:r>
    </w:p>
    <w:p>
      <w:pPr>
        <w:spacing w:after="0" w:line="17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The Kimberly-Clark Notes offered in the Exchange Offers have not been registered under the Securities Act or any state securities laws. Therefore, the Kimberly-Clark Notes may not be offered or sold in the United States absent registration or an applicable exemption from the registration requirements of the Securities Act and any applicable state securities laws.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About Kimberly-Clark</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Kimberly-Clark (NASDAQ: KMB) is the preeminent global health and wellness leader, built to deliver extraordinary care. Our portfolio of iconic personal care and consumer health brands, including Huggies, Listerine, Cottonelle, Neutrogena, Depend, Tylenol, Kleenex, Johnson’s Baby, Kotex and Scott, serves consumers across every stage of life in more than 175 countries. We combine consumer-led innovation, leading brand-building and commercial capabilities, and a fast and agile operating model to raise the standard of care for billions of people around the world. We are committed to using sustainable practices designed to support a healthy planet, build strong communities, and enable our business to thrive for decades to come. The KMB stock is a large cap growth and value stock and core S&amp;P 500 equity held by more than 400 Exchange Traded Funds. Kimberly-Clark is considered a Dividend Aristocrat, having paid a dividend for 92 consecutive years and increasing its dividend in each of the past 54 consecutive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press release, including the expected timing of settlement of the Exchange Offers, constitute “forward-looking statements” within the meaning of Section 27A of the Securities Act and Section 21E of the Securities Exchange Act of 1934, as amended, and are qualified by the inherent risks and uncertainties surrounding future expectations generally. There can be no assurance that these future events will occur as anticipated or that our results will be as estimated. Actual results could differ materially from those currently anticipated due to a number of risks and uncertainties, many of which are beyond our control. Forward-looking statements are based upon the expectations and beliefs of the management of Kimberly-Clark as of the date they were made and speak only as of the date they were made. We undertake no obligation to publicly update any forward-looking statements. Some of these forward-looking statements can be identified by words like “anticipate,” “approximately,” “believe,” “continue,” “could,” “estimate,” “expect,” “forecast,” “intend,” “may,” “outlook,” “plan,” “possible,” “potential,” “predict,” “project,” “seek,” “should,” “target,” “will” or “would,” the negative of these words, other terms of similar meaning or the use of future dates.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assumptions used as a basis for the forward-looking statements include many estimates. Many factors outside our control could affect the realization of these estimates. Additional information and factors concerning these risks, uncertainties and assumptions can be found in Kimberly-Clark’s filings with the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including the risk factors discussed in Kimberly-Clark’s most recent Annual Report on Form 10-K, as updated by its Quarterly Reports on Form 10-Q and future filings with the SEC. Forward-looking statements included herein are made only as of the date hereof and Kimberly-Clark undertakes no obligation to update any forward-looking statements, or any other information in this press release, as a result of new information, future developments or otherwise, or to correct any inaccuracies or omissions in them which become apparent. All forward-looking statements in this press release are qualified in their entirety by this cautionary statement.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lowerRoman"/>
      <w:start w:val="1"/>
    </w:lvl>
  </w:abstractNum>
  <w:abstractNum w:abstractNumId="3">
    <w:nsid w:val="153EA438"/>
    <w:multiLevelType w:val="hybridMultilevel"/>
    <w:lvl w:ilvl="0">
      <w:lvlJc w:val="left"/>
      <w:lvlText w:val="(%1)"/>
      <w:numFmt w:val="lowerRoman"/>
      <w:start w:val="1"/>
    </w:lvl>
  </w:abstractNum>
  <w:abstractNum w:abstractNumId="4">
    <w:nsid w:val="3855585C"/>
    <w:multiLevelType w:val="hybridMultilevel"/>
    <w:lvl w:ilvl="0">
      <w:lvlJc w:val="left"/>
      <w:lvlText w:val="(%1)"/>
      <w:numFmt w:val="lowerRoman"/>
      <w:start w:val="7"/>
    </w:lvl>
  </w:abstractNum>
  <w:abstractNum w:abstractNumId="5">
    <w:nsid w:val="70A64E2A"/>
    <w:multiLevelType w:val="hybridMultilevel"/>
    <w:lvl w:ilvl="0">
      <w:lvlJc w:val="left"/>
      <w:lvlText w:val="(%1)"/>
      <w:numFmt w:val="lowerLetter"/>
      <w:start w:val="3"/>
    </w:lvl>
  </w:abstractNum>
  <w:abstractNum w:abstractNumId="6">
    <w:nsid w:val="6A2342EC"/>
    <w:multiLevelType w:val="hybridMultilevel"/>
    <w:lvl w:ilvl="0">
      <w:lvlJc w:val="left"/>
      <w:lvlText w:val="(%1)"/>
      <w:numFmt w:val="lowerLetter"/>
      <w:start w:val="4"/>
    </w:lvl>
  </w:abstractNum>
  <w:abstractNum w:abstractNumId="7">
    <w:nsid w:val="2A487CB0"/>
    <w:multiLevelType w:val="hybridMultilevel"/>
    <w:lvl w:ilvl="0">
      <w:lvlJc w:val="left"/>
      <w:lvlText w:val="(%1)"/>
      <w:numFmt w:val="upperLetter"/>
      <w:start w:val="2"/>
    </w:lvl>
  </w:abstractNum>
  <w:abstractNum w:abstractNumId="8">
    <w:nsid w:val="1D4ED43B"/>
    <w:multiLevelType w:val="hybridMultilevel"/>
    <w:lvl w:ilvl="0">
      <w:lvlJc w:val="left"/>
      <w:lvlText w:val="(%1)"/>
      <w:numFmt w:val="upperLetter"/>
      <w:start w:val="4"/>
    </w:lvl>
  </w:abstractNum>
  <w:abstractNum w:abstractNumId="9">
    <w:nsid w:val="725A06FB"/>
    <w:multiLevelType w:val="hybridMultilevel"/>
    <w:lvl w:ilvl="0">
      <w:lvlJc w:val="left"/>
      <w:lvlText w:val="(%1)"/>
      <w:numFmt w:val="upperLetter"/>
      <w:start w:val="9"/>
    </w:lvl>
  </w:abstractNum>
  <w:abstractNum w:abstractNumId="10">
    <w:nsid w:val="2CD89A32"/>
    <w:multiLevelType w:val="hybridMultilevel"/>
    <w:lvl w:ilvl="0">
      <w:lvlJc w:val="left"/>
      <w:lvlText w:val="(%1)"/>
      <w:numFmt w:val="decimal"/>
      <w:start w:val="8"/>
    </w:lvl>
  </w:abstractNum>
  <w:abstractNum w:abstractNumId="11">
    <w:nsid w:val="57E4CCAF"/>
    <w:multiLevelType w:val="hybridMultilevel"/>
    <w:lvl w:ilvl="0">
      <w:lvlJc w:val="left"/>
      <w:lvlText w:val="(%1)"/>
      <w:numFmt w:val="decimal"/>
      <w:start w:val="10"/>
    </w:lvl>
  </w:abstractNum>
  <w:abstractNum w:abstractNumId="12">
    <w:nsid w:val="7A6D8D3C"/>
    <w:multiLevelType w:val="hybridMultilevel"/>
    <w:lvl w:ilvl="0">
      <w:lvlJc w:val="left"/>
      <w:lvlText w:val="(%1)"/>
      <w:numFmt w:val="decimal"/>
      <w:start w:val="16"/>
    </w:lvl>
    <w:lvl w:ilvl="1">
      <w:lvlJc w:val="left"/>
      <w:lvlText w:val="(%2)"/>
      <w:numFmt w:val="upperLetter"/>
      <w:start w:val="1"/>
    </w:lvl>
  </w:abstractNum>
  <w:abstractNum w:abstractNumId="13">
    <w:nsid w:val="4B588F54"/>
    <w:multiLevelType w:val="hybridMultilevel"/>
    <w:lvl w:ilvl="0">
      <w:lvlJc w:val="left"/>
      <w:lvlText w:val="(%1)"/>
      <w:numFmt w:val="upperLetter"/>
      <w:start w:val="5"/>
    </w:lvl>
  </w:abstractNum>
  <w:abstractNum w:abstractNumId="14">
    <w:nsid w:val="542289EC"/>
    <w:multiLevelType w:val="hybridMultilevel"/>
    <w:lvl w:ilvl="0">
      <w:lvlJc w:val="left"/>
      <w:lvlText w:val="1"/>
      <w:numFmt w:val="bullet"/>
      <w:start w:val="1"/>
    </w:lvl>
  </w:abstractNum>
  <w:abstractNum w:abstractNumId="15">
    <w:nsid w:val="6DE91B18"/>
    <w:multiLevelType w:val="hybridMultilevel"/>
    <w:lvl w:ilvl="0">
      <w:lvlJc w:val="left"/>
      <w:lvlText w:val="(%1)"/>
      <w:numFmt w:val="upperLetter"/>
      <w:start w:val="5"/>
    </w:lvl>
  </w:abstractNum>
  <w:abstractNum w:abstractNumId="16">
    <w:nsid w:val="38437FDB"/>
    <w:multiLevelType w:val="hybridMultilevel"/>
    <w:lvl w:ilvl="0">
      <w:lvlJc w:val="left"/>
      <w:lvlText w:val="1"/>
      <w:numFmt w:val="bullet"/>
      <w:start w:val="1"/>
    </w:lvl>
  </w:abstractNum>
  <w:abstractNum w:abstractNumId="17">
    <w:nsid w:val="7644A45C"/>
    <w:multiLevelType w:val="hybridMultilevel"/>
    <w:lvl w:ilvl="0">
      <w:lvlJc w:val="left"/>
      <w:lvlText w:val="(%1)"/>
      <w:numFmt w:val="upperLetter"/>
      <w:start w:val="5"/>
    </w:lvl>
  </w:abstractNum>
  <w:abstractNum w:abstractNumId="18">
    <w:nsid w:val="32FFF902"/>
    <w:multiLevelType w:val="hybridMultilevel"/>
    <w:lvl w:ilvl="0">
      <w:lvlJc w:val="left"/>
      <w:lvlText w:val="1"/>
      <w:numFmt w:val="bullet"/>
      <w:start w:val="1"/>
    </w:lvl>
  </w:abstractNum>
  <w:abstractNum w:abstractNumId="19">
    <w:nsid w:val="684A481A"/>
    <w:multiLevelType w:val="hybridMultilevel"/>
    <w:lvl w:ilvl="0">
      <w:lvlJc w:val="left"/>
      <w:lvlText w:val="(%1)"/>
      <w:numFmt w:val="upperLetter"/>
      <w:start w:val="5"/>
    </w:lvl>
  </w:abstractNum>
  <w:abstractNum w:abstractNumId="20">
    <w:nsid w:val="579478FE"/>
    <w:multiLevelType w:val="hybridMultilevel"/>
    <w:lvl w:ilvl="0">
      <w:lvlJc w:val="left"/>
      <w:lvlText w:val="1"/>
      <w:numFmt w:val="bullet"/>
      <w:start w:val="1"/>
    </w:lvl>
  </w:abstractNum>
  <w:abstractNum w:abstractNumId="21">
    <w:nsid w:val="749ABB43"/>
    <w:multiLevelType w:val="hybridMultilevel"/>
    <w:lvl w:ilvl="0">
      <w:lvlJc w:val="left"/>
      <w:lvlText w:val="(%1)"/>
      <w:numFmt w:val="decimal"/>
      <w:start w:val="2"/>
    </w:lvl>
  </w:abstractNum>
  <w:abstractNum w:abstractNumId="22">
    <w:nsid w:val="3DC240FB"/>
    <w:multiLevelType w:val="hybridMultilevel"/>
    <w:lvl w:ilvl="0">
      <w:lvlJc w:val="left"/>
      <w:lvlText w:val="(%1)"/>
      <w:numFmt w:val="upperLetter"/>
      <w:start w:val="5"/>
    </w:lvl>
  </w:abstractNum>
  <w:abstractNum w:abstractNumId="23">
    <w:nsid w:val="1BA026FA"/>
    <w:multiLevelType w:val="hybridMultilevel"/>
    <w:lvl w:ilvl="0">
      <w:lvlJc w:val="left"/>
      <w:lvlText w:val="1"/>
      <w:numFmt w:val="bullet"/>
      <w:start w:val="1"/>
    </w:lvl>
  </w:abstractNum>
  <w:abstractNum w:abstractNumId="24">
    <w:nsid w:val="79A1DEAA"/>
    <w:multiLevelType w:val="hybridMultilevel"/>
    <w:lvl w:ilvl="0">
      <w:lvlJc w:val="left"/>
      <w:lvlText w:val="(%1)"/>
      <w:numFmt w:val="decimal"/>
      <w:start w:val="2"/>
    </w:lvl>
  </w:abstractNum>
  <w:abstractNum w:abstractNumId="25">
    <w:nsid w:val="75C6C33A"/>
    <w:multiLevelType w:val="hybridMultilevel"/>
    <w:lvl w:ilvl="0">
      <w:lvlJc w:val="left"/>
      <w:lvlText w:val="1"/>
      <w:numFmt w:val="bullet"/>
      <w:start w:val="1"/>
    </w:lvl>
  </w:abstractNum>
  <w:abstractNum w:abstractNumId="26">
    <w:nsid w:val="12E685FB"/>
    <w:multiLevelType w:val="hybridMultilevel"/>
    <w:lvl w:ilvl="0">
      <w:lvlJc w:val="left"/>
      <w:lvlText w:val="1"/>
      <w:numFmt w:val="bullet"/>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1."/>
      <w:numFmt w:val="decimal"/>
      <w:start w:val="2"/>
    </w:lvl>
    <w:lvl w:ilvl="1">
      <w:lvlJc w:val="left"/>
      <w:lvlText w:val="(%2)"/>
      <w:numFmt w:val="lowerLetter"/>
      <w:start w:val="1"/>
    </w:lvl>
  </w:abstractNum>
  <w:abstractNum w:abstractNumId="29">
    <w:nsid w:val="374A3FE6"/>
    <w:multiLevelType w:val="hybridMultilevel"/>
    <w:lvl w:ilvl="0">
      <w:lvlJc w:val="left"/>
      <w:lvlText w:val="(%1)"/>
      <w:numFmt w:val="decimal"/>
      <w:start w:val="9"/>
    </w:lvl>
    <w:lvl w:ilvl="1">
      <w:lvlJc w:val="left"/>
      <w:lvlText w:val="(%2)"/>
      <w:numFmt w:val="lowerLetter"/>
      <w:start w:val="4"/>
    </w:lvl>
  </w:abstractNum>
  <w:abstractNum w:abstractNumId="30">
    <w:nsid w:val="4F4EF005"/>
    <w:multiLevelType w:val="hybridMultilevel"/>
    <w:lvl w:ilvl="0">
      <w:lvlJc w:val="left"/>
      <w:lvlText w:val="%1."/>
      <w:numFmt w:val="decimal"/>
      <w:start w:val="4"/>
    </w:lvl>
    <w:lvl w:ilvl="1">
      <w:lvlJc w:val="left"/>
      <w:lvlText w:val="(%2)"/>
      <w:numFmt w:val="lowerLetter"/>
      <w:start w:val="1"/>
    </w:lvl>
  </w:abstractNum>
  <w:abstractNum w:abstractNumId="31">
    <w:nsid w:val="23F9C13C"/>
    <w:multiLevelType w:val="hybridMultilevel"/>
    <w:lvl w:ilvl="0">
      <w:lvlJc w:val="left"/>
      <w:lvlText w:val="%1."/>
      <w:numFmt w:val="decimal"/>
      <w:start w:val="5"/>
    </w:lvl>
  </w:abstractNum>
  <w:abstractNum w:abstractNumId="32">
    <w:nsid w:val="649BB77C"/>
    <w:multiLevelType w:val="hybridMultilevel"/>
    <w:lvl w:ilvl="0">
      <w:lvlJc w:val="left"/>
      <w:lvlText w:val="%1."/>
      <w:numFmt w:val="decimal"/>
      <w:start w:val="1"/>
    </w:lvl>
  </w:abstractNum>
  <w:abstractNum w:abstractNumId="33">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
    <w:nsid w:val="3938657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5">
    <w:nsid w:val="1CF10FD8"/>
    <w:multiLevelType w:val="hybridMultilevel"/>
    <w:lvl w:ilvl="0">
      <w:lvlJc w:val="left"/>
      <w:lvlText w:val="(%1)"/>
      <w:numFmt w:val="lowerLetter"/>
      <w:start w:val="1"/>
    </w:lvl>
    <w:lvl w:ilvl="1">
      <w:lvlJc w:val="left"/>
      <w:lvlText w:val="(%2)"/>
      <w:numFmt w:val="lowerRoman"/>
      <w:start w:val="1"/>
    </w:lvl>
  </w:abstractNum>
  <w:abstractNum w:abstractNumId="36">
    <w:nsid w:val="180115BE"/>
    <w:multiLevelType w:val="hybridMultilevel"/>
    <w:lvl w:ilvl="0">
      <w:lvlJc w:val="left"/>
      <w:lvlText w:val="%1."/>
      <w:numFmt w:val="decimal"/>
      <w:start w:val="1"/>
    </w:lvl>
    <w:lvl w:ilvl="1">
      <w:lvlJc w:val="left"/>
      <w:lvlText w:val="(%2)"/>
      <w:numFmt w:val="lowerLetter"/>
      <w:start w:val="1"/>
    </w:lvl>
  </w:abstractNum>
  <w:abstractNum w:abstractNumId="37">
    <w:nsid w:val="235BA861"/>
    <w:multiLevelType w:val="hybridMultilevel"/>
    <w:lvl w:ilvl="0">
      <w:lvlJc w:val="left"/>
      <w:lvlText w:val="(%1)"/>
      <w:numFmt w:val="lowerLetter"/>
      <w:start w:val="2"/>
    </w:lvl>
  </w:abstractNum>
  <w:abstractNum w:abstractNumId="38">
    <w:nsid w:val="47398C89"/>
    <w:multiLevelType w:val="hybridMultilevel"/>
    <w:lvl w:ilvl="0">
      <w:lvlJc w:val="left"/>
      <w:lvlText w:val="%1."/>
      <w:numFmt w:val="decimal"/>
      <w:start w:val="2"/>
    </w:lvl>
    <w:lvl w:ilvl="1">
      <w:lvlJc w:val="left"/>
      <w:lvlText w:val="(%2)"/>
      <w:numFmt w:val="lowerLetter"/>
      <w:start w:val="1"/>
    </w:lvl>
  </w:abstractNum>
  <w:abstractNum w:abstractNumId="39">
    <w:nsid w:val="354FE9F9"/>
    <w:multiLevelType w:val="hybridMultilevel"/>
    <w:lvl w:ilvl="0">
      <w:lvlJc w:val="left"/>
      <w:lvlText w:val="(%1)"/>
      <w:numFmt w:val="lowerRoman"/>
      <w:start w:val="3"/>
    </w:lvl>
  </w:abstractNum>
  <w:abstractNum w:abstractNumId="40">
    <w:nsid w:val="15B5AF5C"/>
    <w:multiLevelType w:val="hybridMultilevel"/>
    <w:lvl w:ilvl="0">
      <w:lvlJc w:val="left"/>
      <w:lvlText w:val="(%1)"/>
      <w:numFmt w:val="lowerLetter"/>
      <w:start w:val="2"/>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1"/>
      <w:numFmt w:val="lowerLetter"/>
      <w:start w:val="1"/>
    </w:lvl>
    <w:lvl w:ilvl="1">
      <w:lvlJc w:val="left"/>
      <w:lvlText w:val="(%2)"/>
      <w:numFmt w:val="lowerLetter"/>
      <w:start w:val="3"/>
    </w:lvl>
  </w:abstractNum>
  <w:abstractNum w:abstractNumId="44">
    <w:nsid w:val="3F6AB60F"/>
    <w:multiLevelType w:val="hybridMultilevel"/>
    <w:lvl w:ilvl="0">
      <w:lvlJc w:val="left"/>
      <w:lvlText w:val="(%1)"/>
      <w:numFmt w:val="lowerLetter"/>
      <w:start w:val="9"/>
    </w:lvl>
    <w:lvl w:ilvl="1">
      <w:lvlJc w:val="left"/>
      <w:lvlText w:val="%2"/>
      <w:numFmt w:val="lowerLetter"/>
      <w:start w:val="1"/>
    </w:lvl>
  </w:abstractNum>
  <w:abstractNum w:abstractNumId="45">
    <w:nsid w:val="61574095"/>
    <w:multiLevelType w:val="hybridMultilevel"/>
    <w:lvl w:ilvl="0">
      <w:lvlJc w:val="left"/>
      <w:lvlText w:val="%1."/>
      <w:numFmt w:val="decimal"/>
      <w:start w:val="3"/>
    </w:lvl>
  </w:abstractNum>
  <w:abstractNum w:abstractNumId="46">
    <w:nsid w:val="7E0C57B1"/>
    <w:multiLevelType w:val="hybridMultilevel"/>
    <w:lvl w:ilvl="0">
      <w:lvlJc w:val="left"/>
      <w:lvlText w:val="%1"/>
      <w:numFmt w:val="lowerLetter"/>
      <w:start w:val="1"/>
    </w:lvl>
    <w:lvl w:ilvl="1">
      <w:lvlJc w:val="left"/>
      <w:lvlText w:val="(%2)"/>
      <w:numFmt w:val="lowerLetter"/>
      <w:start w:val="1"/>
    </w:lvl>
  </w:abstractNum>
  <w:abstractNum w:abstractNumId="47">
    <w:nsid w:val="77AE35EB"/>
    <w:multiLevelType w:val="hybridMultilevel"/>
    <w:lvl w:ilvl="0">
      <w:lvlJc w:val="left"/>
      <w:lvlText w:val="(%1)"/>
      <w:numFmt w:val="lowerLetter"/>
      <w:start w:val="35"/>
    </w:lvl>
    <w:lvl w:ilvl="1">
      <w:lvlJc w:val="left"/>
      <w:lvlText w:val="%2"/>
      <w:numFmt w:val="lowerLetter"/>
      <w:start w:val="1"/>
    </w:lvl>
  </w:abstractNum>
  <w:abstractNum w:abstractNumId="48">
    <w:nsid w:val="579BE4F1"/>
    <w:multiLevelType w:val="hybridMultilevel"/>
    <w:lvl w:ilvl="0">
      <w:lvlJc w:val="left"/>
      <w:lvlText w:val="(%1)"/>
      <w:numFmt w:val="lowerLetter"/>
      <w:start w:val="2"/>
    </w:lvl>
  </w:abstractNum>
  <w:abstractNum w:abstractNumId="49">
    <w:nsid w:val="310C50B3"/>
    <w:multiLevelType w:val="hybridMultilevel"/>
    <w:lvl w:ilvl="0">
      <w:lvlJc w:val="left"/>
      <w:lvlText w:val="%1."/>
      <w:numFmt w:val="decimal"/>
      <w:start w:val="4"/>
    </w:lvl>
  </w:abstractNum>
  <w:abstractNum w:abstractNumId="50">
    <w:nsid w:val="5FF87E05"/>
    <w:multiLevelType w:val="hybridMultilevel"/>
    <w:lvl w:ilvl="0">
      <w:lvlJc w:val="left"/>
      <w:lvlText w:val="(%1)"/>
      <w:numFmt w:val="lowerRoman"/>
      <w:start w:val="1"/>
    </w:lvl>
  </w:abstractNum>
  <w:abstractNum w:abstractNumId="51">
    <w:nsid w:val="2F305DEF"/>
    <w:multiLevelType w:val="hybridMultilevel"/>
    <w:lvl w:ilvl="0">
      <w:lvlJc w:val="left"/>
      <w:lvlText w:val="%1"/>
      <w:numFmt w:val="decimal"/>
      <w:start w:val="1"/>
    </w:lvl>
    <w:lvl w:ilvl="1">
      <w:lvlJc w:val="left"/>
      <w:lvlText w:val="(%2)"/>
      <w:numFmt w:val="lowerLetter"/>
      <w:start w:val="2"/>
    </w:lvl>
  </w:abstractNum>
  <w:abstractNum w:abstractNumId="52">
    <w:nsid w:val="25A70BF7"/>
    <w:multiLevelType w:val="hybridMultilevel"/>
    <w:lvl w:ilvl="0">
      <w:lvlJc w:val="left"/>
      <w:lvlText w:val="%1."/>
      <w:numFmt w:val="decimal"/>
      <w:start w:val="5"/>
    </w:lvl>
    <w:lvl w:ilvl="1">
      <w:lvlJc w:val="left"/>
      <w:lvlText w:val="%2"/>
      <w:numFmt w:val="lowerLetter"/>
      <w:start w:val="1"/>
    </w:lvl>
  </w:abstractNum>
  <w:abstractNum w:abstractNumId="53">
    <w:nsid w:val="1DBABF00"/>
    <w:multiLevelType w:val="hybridMultilevel"/>
    <w:lvl w:ilvl="0">
      <w:lvlJc w:val="left"/>
      <w:lvlText w:val="(%1)"/>
      <w:numFmt w:val="lowerLetter"/>
      <w:start w:val="1"/>
    </w:lvl>
  </w:abstractNum>
  <w:abstractNum w:abstractNumId="54">
    <w:nsid w:val="4AD084E9"/>
    <w:multiLevelType w:val="hybridMultilevel"/>
    <w:lvl w:ilvl="0">
      <w:lvlJc w:val="left"/>
      <w:lvlText w:val="(%1)"/>
      <w:numFmt w:val="lowerLetter"/>
      <w:start w:val="2"/>
    </w:lvl>
  </w:abstractNum>
  <w:abstractNum w:abstractNumId="55">
    <w:nsid w:val="1F48EAA1"/>
    <w:multiLevelType w:val="hybridMultilevel"/>
    <w:lvl w:ilvl="0">
      <w:lvlJc w:val="left"/>
      <w:lvlText w:val="(%1)"/>
      <w:numFmt w:val="lowerLetter"/>
      <w:start w:val="4"/>
    </w:lvl>
  </w:abstractNum>
  <w:abstractNum w:abstractNumId="56">
    <w:nsid w:val="1381823A"/>
    <w:multiLevelType w:val="hybridMultilevel"/>
    <w:lvl w:ilvl="0">
      <w:lvlJc w:val="left"/>
      <w:lvlText w:val="(%1)"/>
      <w:numFmt w:val="lowerLetter"/>
      <w:start w:val="7"/>
    </w:lvl>
  </w:abstractNum>
  <w:abstractNum w:abstractNumId="57">
    <w:nsid w:val="5DB70AE5"/>
    <w:multiLevelType w:val="hybridMultilevel"/>
    <w:lvl w:ilvl="0">
      <w:lvlJc w:val="left"/>
      <w:lvlText w:val="(%1)"/>
      <w:numFmt w:val="lowerLetter"/>
      <w:start w:val="10"/>
    </w:lvl>
  </w:abstractNum>
  <w:abstractNum w:abstractNumId="58">
    <w:nsid w:val="100F8FCA"/>
    <w:multiLevelType w:val="hybridMultilevel"/>
    <w:lvl w:ilvl="0">
      <w:lvlJc w:val="left"/>
      <w:lvlText w:val="%1."/>
      <w:numFmt w:val="decimal"/>
      <w:start w:val="6"/>
    </w:lvl>
    <w:lvl w:ilvl="1">
      <w:lvlJc w:val="left"/>
      <w:lvlText w:val="(%2)"/>
      <w:numFmt w:val="lowerLetter"/>
      <w:start w:val="1"/>
    </w:lvl>
  </w:abstractNum>
  <w:abstractNum w:abstractNumId="59">
    <w:nsid w:val="6590700B"/>
    <w:multiLevelType w:val="hybridMultilevel"/>
    <w:lvl w:ilvl="0">
      <w:lvlJc w:val="left"/>
      <w:lvlText w:val="%1"/>
      <w:numFmt w:val="decimal"/>
      <w:start w:val="1"/>
    </w:lvl>
    <w:lvl w:ilvl="1">
      <w:lvlJc w:val="left"/>
      <w:lvlText w:val="(%2)"/>
      <w:numFmt w:val="lowerLetter"/>
      <w:start w:val="2"/>
    </w:lvl>
  </w:abstractNum>
  <w:abstractNum w:abstractNumId="60">
    <w:nsid w:val="15014ACB"/>
    <w:multiLevelType w:val="hybridMultilevel"/>
    <w:lvl w:ilvl="0">
      <w:lvlJc w:val="left"/>
      <w:lvlText w:val="%1."/>
      <w:numFmt w:val="decimal"/>
      <w:start w:val="7"/>
    </w:lvl>
    <w:lvl w:ilvl="1">
      <w:lvlJc w:val="left"/>
      <w:lvlText w:val="(%2)"/>
      <w:numFmt w:val="lowerLetter"/>
      <w:start w:val="1"/>
    </w:lvl>
  </w:abstractNum>
  <w:abstractNum w:abstractNumId="61">
    <w:nsid w:val="5F5E7FD0"/>
    <w:multiLevelType w:val="hybridMultilevel"/>
    <w:lvl w:ilvl="0">
      <w:lvlJc w:val="left"/>
      <w:lvlText w:val="(%1)"/>
      <w:numFmt w:val="lowerRoman"/>
      <w:start w:val="1"/>
    </w:lvl>
  </w:abstractNum>
  <w:abstractNum w:abstractNumId="62">
    <w:nsid w:val="98A3148"/>
    <w:multiLevelType w:val="hybridMultilevel"/>
    <w:lvl w:ilvl="0">
      <w:lvlJc w:val="left"/>
      <w:lvlText w:val="(%1)"/>
      <w:numFmt w:val="lowerRoman"/>
      <w:start w:val="2"/>
    </w:lvl>
  </w:abstractNum>
  <w:abstractNum w:abstractNumId="63">
    <w:nsid w:val="799D0247"/>
    <w:multiLevelType w:val="hybridMultilevel"/>
    <w:lvl w:ilvl="0">
      <w:lvlJc w:val="left"/>
      <w:lvlText w:val="(%1)"/>
      <w:numFmt w:val="lowerLetter"/>
      <w:start w:val="2"/>
    </w:lvl>
  </w:abstractNum>
  <w:abstractNum w:abstractNumId="64">
    <w:nsid w:val="6B94764"/>
    <w:multiLevelType w:val="hybridMultilevel"/>
    <w:lvl w:ilvl="0">
      <w:lvlJc w:val="left"/>
      <w:lvlText w:val="%1"/>
      <w:numFmt w:val="lowerLetter"/>
      <w:start w:val="1"/>
    </w:lvl>
    <w:lvl w:ilvl="1">
      <w:lvlJc w:val="left"/>
      <w:lvlText w:val="(%2)"/>
      <w:numFmt w:val="lowerLetter"/>
      <w:start w:val="3"/>
    </w:lvl>
  </w:abstractNum>
  <w:abstractNum w:abstractNumId="65">
    <w:nsid w:val="42C296BD"/>
    <w:multiLevelType w:val="hybridMultilevel"/>
    <w:lvl w:ilvl="0">
      <w:lvlJc w:val="left"/>
      <w:lvlText w:val="(%1)"/>
      <w:numFmt w:val="lowerLetter"/>
      <w:start w:val="35"/>
    </w:lvl>
    <w:lvl w:ilvl="1">
      <w:lvlJc w:val="left"/>
      <w:lvlText w:val="%2"/>
      <w:numFmt w:val="lowerLetter"/>
      <w:start w:val="1"/>
    </w:lvl>
  </w:abstractNum>
  <w:abstractNum w:abstractNumId="66">
    <w:nsid w:val="168E121F"/>
    <w:multiLevelType w:val="hybridMultilevel"/>
    <w:lvl w:ilvl="0">
      <w:lvlJc w:val="left"/>
      <w:lvlText w:val="(%1)"/>
      <w:numFmt w:val="lowerLetter"/>
      <w:start w:val="9"/>
    </w:lvl>
    <w:lvl w:ilvl="1">
      <w:lvlJc w:val="left"/>
      <w:lvlText w:val="%2"/>
      <w:numFmt w:val="lowerLetter"/>
      <w:start w:val="1"/>
    </w:lvl>
  </w:abstractNum>
  <w:abstractNum w:abstractNumId="67">
    <w:nsid w:val="1EBA5D23"/>
    <w:multiLevelType w:val="hybridMultilevel"/>
    <w:lvl w:ilvl="0">
      <w:lvlJc w:val="left"/>
      <w:lvlText w:val="%1"/>
      <w:numFmt w:val="lowerLetter"/>
      <w:start w:val="1"/>
    </w:lvl>
    <w:lvl w:ilvl="1">
      <w:lvlJc w:val="left"/>
      <w:lvlText w:val="(%2)"/>
      <w:numFmt w:val="lowerLetter"/>
      <w:start w:val="4"/>
    </w:lvl>
  </w:abstractNum>
  <w:abstractNum w:abstractNumId="68">
    <w:nsid w:val="661E3F1E"/>
    <w:multiLevelType w:val="hybridMultilevel"/>
    <w:lvl w:ilvl="0">
      <w:lvlJc w:val="left"/>
      <w:lvlText w:val="(%1)"/>
      <w:numFmt w:val="lowerLetter"/>
      <w:start w:val="35"/>
    </w:lvl>
    <w:lvl w:ilvl="1">
      <w:lvlJc w:val="left"/>
      <w:lvlText w:val="(%2)"/>
      <w:numFmt w:val="lowerLetter"/>
      <w:start w:val="5"/>
    </w:lvl>
  </w:abstractNum>
  <w:abstractNum w:abstractNumId="69">
    <w:nsid w:val="5DC79EA8"/>
    <w:multiLevelType w:val="hybridMultilevel"/>
    <w:lvl w:ilvl="0">
      <w:lvlJc w:val="left"/>
      <w:lvlText w:val="%1."/>
      <w:numFmt w:val="decimal"/>
      <w:start w:val="8"/>
    </w:lvl>
  </w:abstractNum>
  <w:abstractNum w:abstractNumId="70">
    <w:nsid w:val="540A471C"/>
    <w:multiLevelType w:val="hybridMultilevel"/>
    <w:lvl w:ilvl="0">
      <w:lvlJc w:val="left"/>
      <w:lvlText w:val="%1."/>
      <w:numFmt w:val="decimal"/>
      <w:start w:val="9"/>
    </w:lvl>
  </w:abstractNum>
  <w:abstractNum w:abstractNumId="71">
    <w:nsid w:val="7BD3EE7B"/>
    <w:multiLevelType w:val="hybridMultilevel"/>
    <w:lvl w:ilvl="0">
      <w:lvlJc w:val="left"/>
      <w:lvlText w:val="%1."/>
      <w:numFmt w:val="decimal"/>
      <w:start w:val="10"/>
    </w:lvl>
    <w:lvl w:ilvl="1">
      <w:lvlJc w:val="left"/>
      <w:lvlText w:val="(%2)"/>
      <w:numFmt w:val="lowerLetter"/>
      <w:start w:val="1"/>
    </w:lvl>
  </w:abstractNum>
  <w:abstractNum w:abstractNumId="72">
    <w:nsid w:val="51D9C564"/>
    <w:multiLevelType w:val="hybridMultilevel"/>
    <w:lvl w:ilvl="0">
      <w:lvlJc w:val="left"/>
      <w:lvlText w:val="(%1)"/>
      <w:numFmt w:val="lowerLetter"/>
      <w:start w:val="4"/>
    </w:lvl>
  </w:abstractNum>
  <w:abstractNum w:abstractNumId="73">
    <w:nsid w:val="613EFDC5"/>
    <w:multiLevelType w:val="hybridMultilevel"/>
    <w:lvl w:ilvl="0">
      <w:lvlJc w:val="left"/>
      <w:lvlText w:val="(%1)"/>
      <w:numFmt w:val="lowerRoman"/>
      <w:start w:val="1"/>
    </w:lvl>
  </w:abstractNum>
  <w:abstractNum w:abstractNumId="74">
    <w:nsid w:val="BF72B14"/>
    <w:multiLevelType w:val="hybridMultilevel"/>
    <w:lvl w:ilvl="0">
      <w:lvlJc w:val="left"/>
      <w:lvlText w:val="(%1)"/>
      <w:numFmt w:val="lowerRoman"/>
      <w:start w:val="2"/>
    </w:lvl>
  </w:abstractNum>
  <w:abstractNum w:abstractNumId="75">
    <w:nsid w:val="11447B73"/>
    <w:multiLevelType w:val="hybridMultilevel"/>
    <w:lvl w:ilvl="0">
      <w:lvlJc w:val="left"/>
      <w:lvlText w:val="(%1)"/>
      <w:numFmt w:val="lowerLetter"/>
      <w:start w:val="5"/>
    </w:lvl>
  </w:abstractNum>
  <w:abstractNum w:abstractNumId="76">
    <w:nsid w:val="42963E5A"/>
    <w:multiLevelType w:val="hybridMultilevel"/>
    <w:lvl w:ilvl="0">
      <w:lvlJc w:val="left"/>
      <w:lvlText w:val="(%1)"/>
      <w:numFmt w:val="lowerLetter"/>
      <w:start w:val="9"/>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20" Type="http://schemas.openxmlformats.org/officeDocument/2006/relationships/hyperlink" Target="https://www.sec.gov/Archives/edgar/data/1944048/000162828023009919/exhibit41-sx1a3.htm" TargetMode="External"/><Relationship Id="rId21" Type="http://schemas.openxmlformats.org/officeDocument/2006/relationships/hyperlink" Target="https://www.sec.gov/Archives/edgar/data/1944048/000162828023009919/exhibit42-sx1a3.htm" TargetMode="External"/><Relationship Id="rId22" Type="http://schemas.openxmlformats.org/officeDocument/2006/relationships/hyperlink" Target="https://www.sec.gov/Archives/edgar/data/1944048/000162828025027285/exhibit41-closing8xk2025.htm" TargetMode="External"/><Relationship Id="rId23" Type="http://schemas.openxmlformats.org/officeDocument/2006/relationships/hyperlink" Target="https://www.sec.gov/Archives/edgar/data/1944048/000095015726001094/ex4-1.htm" TargetMode="External"/><Relationship Id="rId24" Type="http://schemas.openxmlformats.org/officeDocument/2006/relationships/hyperlink" Target="https://www.sec.gov/Archives/edgar/data/1944048/000095015726001147/ex4-1.htm" TargetMode="External"/><Relationship Id="rId25" Type="http://schemas.openxmlformats.org/officeDocument/2006/relationships/hyperlink" Target="https://www.sec.gov/Archives/edgar/data/55785/0000950134-98-000673-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2026-11-04T16:28:39Z</dcterms:created>
  <dcterms:modified xsi:type="dcterms:W3CDTF">2026-11-04T16:28:39Z</dcterms:modified>
</cp:coreProperties>
</file>