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5360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360035"/>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Slavtcheff Craig</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P.O. BOX 619100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02"/>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KIMBERLY CLARK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KMB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05/01/2026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958"/>
        <w:spacing w:after="0"/>
        <w:rPr>
          <w:sz w:val="20"/>
          <w:szCs w:val="20"/>
          <w:color w:val="auto"/>
        </w:rPr>
      </w:pPr>
      <w:r>
        <w:rPr>
          <w:rFonts w:ascii="Times New Roman" w:cs="Times New Roman" w:eastAsia="Times New Roman" w:hAnsi="Times New Roman"/>
          <w:sz w:val="16"/>
          <w:szCs w:val="16"/>
          <w:color w:val="0000FF"/>
        </w:rPr>
        <w:t>Chief R&amp;D Officer</w:t>
      </w:r>
    </w:p>
    <w:p>
      <w:pPr>
        <w:spacing w:after="0" w:line="307"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20" w:type="dxa"/>
            <w:vAlign w:val="bottom"/>
            <w:gridSpan w:val="8"/>
            <w:vMerge w:val="restart"/>
          </w:tcPr>
          <w:p>
            <w:pPr>
              <w:jc w:val="center"/>
              <w:ind w:right="58"/>
              <w:spacing w:after="0"/>
              <w:rPr>
                <w:sz w:val="20"/>
                <w:szCs w:val="20"/>
                <w:color w:val="auto"/>
              </w:rPr>
            </w:pPr>
            <w:r>
              <w:rPr>
                <w:rFonts w:ascii="Arial" w:cs="Arial" w:eastAsia="Arial" w:hAnsi="Arial"/>
                <w:sz w:val="13"/>
                <w:szCs w:val="13"/>
                <w:color w:val="auto"/>
                <w:w w:val="96"/>
              </w:rPr>
              <w:t>4. If Amendment, Date of Original Filed (Month/Day/Year)</w:t>
            </w:r>
          </w:p>
        </w:tc>
        <w:tc>
          <w:tcPr>
            <w:tcW w:w="180" w:type="dxa"/>
            <w:vAlign w:val="bottom"/>
          </w:tcPr>
          <w:p>
            <w:pPr>
              <w:spacing w:after="0"/>
              <w:rPr>
                <w:sz w:val="3"/>
                <w:szCs w:val="3"/>
                <w:color w:val="auto"/>
              </w:rPr>
            </w:pPr>
          </w:p>
        </w:tc>
        <w:tc>
          <w:tcPr>
            <w:tcW w:w="3540" w:type="dxa"/>
            <w:vAlign w:val="bottom"/>
            <w:gridSpan w:val="10"/>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20" w:type="dxa"/>
            <w:vAlign w:val="bottom"/>
            <w:gridSpan w:val="8"/>
            <w:vMerge w:val="continue"/>
          </w:tcPr>
          <w:p>
            <w:pPr>
              <w:spacing w:after="0"/>
              <w:rPr>
                <w:sz w:val="7"/>
                <w:szCs w:val="7"/>
                <w:color w:val="auto"/>
              </w:rPr>
            </w:pPr>
          </w:p>
        </w:tc>
        <w:tc>
          <w:tcPr>
            <w:tcW w:w="180" w:type="dxa"/>
            <w:vAlign w:val="bottom"/>
          </w:tcPr>
          <w:p>
            <w:pPr>
              <w:spacing w:after="0"/>
              <w:rPr>
                <w:sz w:val="7"/>
                <w:szCs w:val="7"/>
                <w:color w:val="auto"/>
              </w:rPr>
            </w:pPr>
          </w:p>
        </w:tc>
        <w:tc>
          <w:tcPr>
            <w:tcW w:w="35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ind w:left="1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TX</w:t>
            </w:r>
          </w:p>
        </w:tc>
        <w:tc>
          <w:tcPr>
            <w:tcW w:w="98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75261-9100</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40" w:type="dxa"/>
            <w:vAlign w:val="bottom"/>
            <w:gridSpan w:val="7"/>
          </w:tcPr>
          <w:p>
            <w:pPr>
              <w:ind w:left="120"/>
              <w:spacing w:after="0" w:line="13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4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4300" w:type="dxa"/>
            <w:vAlign w:val="bottom"/>
            <w:tcBorders>
              <w:bottom w:val="single" w:sz="8" w:color="2C2C2C"/>
            </w:tcBorders>
            <w:gridSpan w:val="10"/>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6"/>
          </w:tcPr>
          <w:p>
            <w:pPr>
              <w:jc w:val="center"/>
              <w:ind w:left="5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40" w:type="dxa"/>
            <w:vAlign w:val="bottom"/>
            <w:tcBorders>
              <w:bottom w:val="single" w:sz="8" w:color="2C2C2C"/>
            </w:tcBorders>
            <w:gridSpan w:val="4"/>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jc w:val="center"/>
              <w:ind w:right="106"/>
              <w:spacing w:after="0"/>
              <w:rPr>
                <w:sz w:val="20"/>
                <w:szCs w:val="20"/>
                <w:color w:val="auto"/>
              </w:rPr>
            </w:pPr>
            <w:r>
              <w:rPr>
                <w:rFonts w:ascii="Arial" w:cs="Arial" w:eastAsia="Arial" w:hAnsi="Arial"/>
                <w:sz w:val="11"/>
                <w:szCs w:val="11"/>
                <w:b w:val="1"/>
                <w:bCs w:val="1"/>
                <w:color w:val="auto"/>
                <w:w w:val="81"/>
              </w:rPr>
              <w:t>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jc w:val="right"/>
              <w:ind w:right="4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6"/>
                <w:szCs w:val="16"/>
                <w:color w:val="0000FF"/>
              </w:rPr>
              <w:t>05/01/2026</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98"/>
              <w:spacing w:after="0"/>
              <w:rPr>
                <w:sz w:val="20"/>
                <w:szCs w:val="20"/>
                <w:color w:val="auto"/>
              </w:rPr>
            </w:pPr>
            <w:r>
              <w:rPr>
                <w:rFonts w:ascii="Times New Roman" w:cs="Times New Roman" w:eastAsia="Times New Roman" w:hAnsi="Times New Roman"/>
                <w:sz w:val="16"/>
                <w:szCs w:val="16"/>
                <w:color w:val="0000FF"/>
              </w:rPr>
              <w:t>1,257</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0.0000</w:t>
            </w:r>
            <w:r>
              <w:rPr>
                <w:rFonts w:ascii="Times New Roman" w:cs="Times New Roman" w:eastAsia="Times New Roman" w:hAnsi="Times New Roman"/>
                <w:sz w:val="20"/>
                <w:szCs w:val="20"/>
                <w:color w:val="008000"/>
                <w:vertAlign w:val="superscript"/>
              </w:rPr>
              <w:t>(2)</w:t>
            </w:r>
          </w:p>
        </w:tc>
        <w:tc>
          <w:tcPr>
            <w:tcW w:w="12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6"/>
                <w:szCs w:val="16"/>
                <w:color w:val="0000FF"/>
              </w:rPr>
              <w:t>4,152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6"/>
                <w:szCs w:val="16"/>
                <w:color w:val="0000FF"/>
              </w:rPr>
              <w:t>05/01/2026</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5"/>
                <w:vertAlign w:val="subscript"/>
              </w:rPr>
              <w:t>F</w:t>
            </w:r>
            <w:r>
              <w:rPr>
                <w:rFonts w:ascii="Times New Roman" w:cs="Times New Roman" w:eastAsia="Times New Roman" w:hAnsi="Times New Roman"/>
                <w:sz w:val="10"/>
                <w:szCs w:val="10"/>
                <w:color w:val="008000"/>
                <w:w w:val="95"/>
              </w:rPr>
              <w:t>(3)</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238"/>
              <w:spacing w:after="0"/>
              <w:rPr>
                <w:sz w:val="20"/>
                <w:szCs w:val="20"/>
                <w:color w:val="auto"/>
              </w:rPr>
            </w:pPr>
            <w:r>
              <w:rPr>
                <w:rFonts w:ascii="Times New Roman" w:cs="Times New Roman" w:eastAsia="Times New Roman" w:hAnsi="Times New Roman"/>
                <w:sz w:val="16"/>
                <w:szCs w:val="16"/>
                <w:color w:val="0000FF"/>
              </w:rPr>
              <w:t>535</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97.67</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6"/>
                <w:szCs w:val="16"/>
                <w:color w:val="0000FF"/>
              </w:rPr>
              <w:t>3,617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40" w:type="dxa"/>
            <w:vAlign w:val="bottom"/>
            <w:gridSpan w:val="13"/>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3"/>
          </w:tcPr>
          <w:p>
            <w:pPr>
              <w:ind w:left="20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80" w:type="dxa"/>
            <w:vAlign w:val="bottom"/>
            <w:gridSpan w:val="3"/>
          </w:tcPr>
          <w:p>
            <w:pPr>
              <w:ind w:left="20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80" w:type="dxa"/>
            <w:vAlign w:val="bottom"/>
            <w:gridSpan w:val="3"/>
          </w:tcPr>
          <w:p>
            <w:pPr>
              <w:ind w:left="2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ind w:left="20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spacing w:after="0"/>
              <w:rPr>
                <w:sz w:val="10"/>
                <w:szCs w:val="10"/>
                <w:color w:val="auto"/>
              </w:rPr>
            </w:pPr>
          </w:p>
        </w:tc>
        <w:tc>
          <w:tcPr>
            <w:tcW w:w="820" w:type="dxa"/>
            <w:vAlign w:val="bottom"/>
          </w:tcPr>
          <w:p>
            <w:pPr>
              <w:jc w:val="center"/>
              <w:ind w:left="98"/>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spacing w:after="0"/>
              <w:rPr>
                <w:sz w:val="20"/>
                <w:szCs w:val="20"/>
                <w:color w:val="auto"/>
              </w:rPr>
            </w:pPr>
            <w:r>
              <w:rPr>
                <w:rFonts w:ascii="Arial" w:cs="Arial" w:eastAsia="Arial" w:hAnsi="Arial"/>
                <w:sz w:val="11"/>
                <w:szCs w:val="11"/>
                <w:b w:val="1"/>
                <w:bCs w:val="1"/>
                <w:color w:val="auto"/>
              </w:rPr>
              <w:t>(D)</w:t>
            </w:r>
          </w:p>
        </w:tc>
        <w:tc>
          <w:tcPr>
            <w:tcW w:w="1580" w:type="dxa"/>
            <w:vAlign w:val="bottom"/>
            <w:gridSpan w:val="3"/>
          </w:tcPr>
          <w:p>
            <w:pPr>
              <w:ind w:left="200"/>
              <w:spacing w:after="0"/>
              <w:rPr>
                <w:sz w:val="20"/>
                <w:szCs w:val="20"/>
                <w:color w:val="auto"/>
              </w:rPr>
            </w:pPr>
            <w:r>
              <w:rPr>
                <w:rFonts w:ascii="Arial" w:cs="Arial" w:eastAsia="Arial" w:hAnsi="Arial"/>
                <w:sz w:val="11"/>
                <w:szCs w:val="11"/>
                <w:b w:val="1"/>
                <w:bCs w:val="1"/>
                <w:color w:val="auto"/>
              </w:rPr>
              <w:t>Exercisable  Date</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1,257</w:t>
            </w:r>
            <w:r>
              <w:rPr>
                <w:rFonts w:ascii="Times New Roman" w:cs="Times New Roman" w:eastAsia="Times New Roman" w:hAnsi="Times New Roman"/>
                <w:sz w:val="20"/>
                <w:szCs w:val="20"/>
                <w:color w:val="008000"/>
                <w:vertAlign w:val="superscript"/>
              </w:rPr>
              <w:t>(1)</w:t>
            </w:r>
          </w:p>
        </w:tc>
        <w:tc>
          <w:tcPr>
            <w:tcW w:w="300" w:type="dxa"/>
            <w:vAlign w:val="bottom"/>
            <w:vMerge w:val="restart"/>
          </w:tcPr>
          <w:p>
            <w:pPr>
              <w:jc w:val="center"/>
              <w:ind w:right="126"/>
              <w:spacing w:after="0"/>
              <w:rPr>
                <w:sz w:val="20"/>
                <w:szCs w:val="20"/>
                <w:color w:val="auto"/>
              </w:rPr>
            </w:pPr>
            <w:r>
              <w:rPr>
                <w:rFonts w:ascii="Times New Roman" w:cs="Times New Roman" w:eastAsia="Times New Roman" w:hAnsi="Times New Roman"/>
                <w:sz w:val="10"/>
                <w:szCs w:val="10"/>
                <w:color w:val="008000"/>
              </w:rPr>
              <w:t>(4)</w:t>
            </w:r>
          </w:p>
        </w:tc>
        <w:tc>
          <w:tcPr>
            <w:tcW w:w="820" w:type="dxa"/>
            <w:vAlign w:val="bottom"/>
            <w:vMerge w:val="restart"/>
          </w:tcPr>
          <w:p>
            <w:pPr>
              <w:jc w:val="center"/>
              <w:ind w:left="118"/>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00" w:type="dxa"/>
            <w:vAlign w:val="bottom"/>
            <w:vMerge w:val="restart"/>
          </w:tcPr>
          <w:p>
            <w:pPr>
              <w:jc w:val="right"/>
              <w:ind w:right="16"/>
              <w:spacing w:after="0"/>
              <w:rPr>
                <w:sz w:val="20"/>
                <w:szCs w:val="20"/>
                <w:color w:val="auto"/>
              </w:rPr>
            </w:pPr>
            <w:r>
              <w:rPr>
                <w:rFonts w:ascii="Times New Roman" w:cs="Times New Roman" w:eastAsia="Times New Roman" w:hAnsi="Times New Roman"/>
                <w:sz w:val="16"/>
                <w:szCs w:val="16"/>
                <w:color w:val="0000FF"/>
              </w:rPr>
              <w:t>1,257</w:t>
            </w:r>
          </w:p>
        </w:tc>
        <w:tc>
          <w:tcPr>
            <w:tcW w:w="6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820" w:type="dxa"/>
            <w:vAlign w:val="bottom"/>
            <w:gridSpan w:val="3"/>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5/01/2025</w:t>
            </w:r>
          </w:p>
        </w:tc>
        <w:tc>
          <w:tcPr>
            <w:tcW w:w="760" w:type="dxa"/>
            <w:vAlign w:val="bottom"/>
            <w:vMerge w:val="continue"/>
          </w:tcPr>
          <w:p>
            <w:pPr>
              <w:spacing w:after="0"/>
              <w:rPr>
                <w:sz w:val="5"/>
                <w:szCs w:val="5"/>
                <w:color w:val="auto"/>
              </w:rPr>
            </w:pPr>
          </w:p>
        </w:tc>
        <w:tc>
          <w:tcPr>
            <w:tcW w:w="980" w:type="dxa"/>
            <w:vAlign w:val="bottom"/>
            <w:vMerge w:val="restart"/>
          </w:tcPr>
          <w:p>
            <w:pPr>
              <w:jc w:val="right"/>
              <w:ind w:right="117"/>
              <w:spacing w:after="0" w:line="139" w:lineRule="exact"/>
              <w:rPr>
                <w:sz w:val="20"/>
                <w:szCs w:val="20"/>
                <w:color w:val="auto"/>
              </w:rPr>
            </w:pPr>
            <w:r>
              <w:rPr>
                <w:rFonts w:ascii="Times New Roman" w:cs="Times New Roman" w:eastAsia="Times New Roman" w:hAnsi="Times New Roman"/>
                <w:sz w:val="13"/>
                <w:szCs w:val="13"/>
                <w:color w:val="0000FF"/>
              </w:rPr>
              <w:t>05/01/2026</w:t>
            </w: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280"/>
              <w:spacing w:after="0" w:line="139" w:lineRule="exact"/>
              <w:rPr>
                <w:sz w:val="20"/>
                <w:szCs w:val="20"/>
                <w:color w:val="auto"/>
              </w:rPr>
            </w:pPr>
            <w:r>
              <w:rPr>
                <w:rFonts w:ascii="Times New Roman" w:cs="Times New Roman" w:eastAsia="Times New Roman" w:hAnsi="Times New Roman"/>
                <w:sz w:val="13"/>
                <w:szCs w:val="13"/>
                <w:color w:val="0000FF"/>
                <w:w w:val="95"/>
              </w:rPr>
              <w:t>2,934</w:t>
            </w:r>
          </w:p>
        </w:tc>
        <w:tc>
          <w:tcPr>
            <w:tcW w:w="28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(w/dividends</w:t>
            </w: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reinvested)</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vMerge w:val="restart"/>
          </w:tcPr>
          <w:p>
            <w:pPr>
              <w:jc w:val="center"/>
              <w:ind w:right="126"/>
              <w:spacing w:after="0"/>
              <w:rPr>
                <w:sz w:val="20"/>
                <w:szCs w:val="20"/>
                <w:color w:val="auto"/>
              </w:rPr>
            </w:pPr>
            <w:r>
              <w:rPr>
                <w:rFonts w:ascii="Times New Roman" w:cs="Times New Roman" w:eastAsia="Times New Roman" w:hAnsi="Times New Roman"/>
                <w:sz w:val="10"/>
                <w:szCs w:val="10"/>
                <w:color w:val="008000"/>
              </w:rPr>
              <w:t>(4)</w:t>
            </w:r>
          </w:p>
        </w:tc>
        <w:tc>
          <w:tcPr>
            <w:tcW w:w="820" w:type="dxa"/>
            <w:vAlign w:val="bottom"/>
            <w:vMerge w:val="restart"/>
          </w:tcPr>
          <w:p>
            <w:pPr>
              <w:jc w:val="center"/>
              <w:ind w:left="118"/>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00" w:type="dxa"/>
            <w:vAlign w:val="bottom"/>
            <w:vMerge w:val="restart"/>
          </w:tcPr>
          <w:p>
            <w:pPr>
              <w:jc w:val="right"/>
              <w:ind w:right="16"/>
              <w:spacing w:after="0"/>
              <w:rPr>
                <w:sz w:val="20"/>
                <w:szCs w:val="20"/>
                <w:color w:val="auto"/>
              </w:rPr>
            </w:pPr>
            <w:r>
              <w:rPr>
                <w:rFonts w:ascii="Times New Roman" w:cs="Times New Roman" w:eastAsia="Times New Roman" w:hAnsi="Times New Roman"/>
                <w:sz w:val="16"/>
                <w:szCs w:val="16"/>
                <w:color w:val="0000FF"/>
              </w:rPr>
              <w:t>5,324</w:t>
            </w:r>
          </w:p>
        </w:tc>
        <w:tc>
          <w:tcPr>
            <w:tcW w:w="6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820" w:type="dxa"/>
            <w:vAlign w:val="bottom"/>
            <w:gridSpan w:val="3"/>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5/1/2026</w:t>
            </w:r>
          </w:p>
        </w:tc>
        <w:tc>
          <w:tcPr>
            <w:tcW w:w="760" w:type="dxa"/>
            <w:vAlign w:val="bottom"/>
            <w:vMerge w:val="continue"/>
          </w:tcPr>
          <w:p>
            <w:pPr>
              <w:spacing w:after="0"/>
              <w:rPr>
                <w:sz w:val="5"/>
                <w:szCs w:val="5"/>
                <w:color w:val="auto"/>
              </w:rPr>
            </w:pPr>
          </w:p>
        </w:tc>
        <w:tc>
          <w:tcPr>
            <w:tcW w:w="980" w:type="dxa"/>
            <w:vAlign w:val="bottom"/>
            <w:vMerge w:val="restart"/>
          </w:tcPr>
          <w:p>
            <w:pPr>
              <w:jc w:val="right"/>
              <w:ind w:right="117"/>
              <w:spacing w:after="0" w:line="139" w:lineRule="exact"/>
              <w:rPr>
                <w:sz w:val="20"/>
                <w:szCs w:val="20"/>
                <w:color w:val="auto"/>
              </w:rPr>
            </w:pPr>
            <w:r>
              <w:rPr>
                <w:rFonts w:ascii="Times New Roman" w:cs="Times New Roman" w:eastAsia="Times New Roman" w:hAnsi="Times New Roman"/>
                <w:sz w:val="13"/>
                <w:szCs w:val="13"/>
                <w:color w:val="0000FF"/>
              </w:rPr>
              <w:t>05/01/2026</w:t>
            </w: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50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5,324</w:t>
            </w: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280"/>
              <w:spacing w:after="0" w:line="139" w:lineRule="exact"/>
              <w:rPr>
                <w:sz w:val="20"/>
                <w:szCs w:val="20"/>
                <w:color w:val="auto"/>
              </w:rPr>
            </w:pPr>
            <w:r>
              <w:rPr>
                <w:rFonts w:ascii="Times New Roman" w:cs="Times New Roman" w:eastAsia="Times New Roman" w:hAnsi="Times New Roman"/>
                <w:sz w:val="13"/>
                <w:szCs w:val="13"/>
                <w:color w:val="0000FF"/>
                <w:w w:val="95"/>
              </w:rPr>
              <w:t>5,324</w:t>
            </w:r>
          </w:p>
        </w:tc>
        <w:tc>
          <w:tcPr>
            <w:tcW w:w="28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(w/dividends</w:t>
            </w: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reinvested)</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that have vested and are paid out in shares of common stock. Includes restricted share units which were accrued based on dividends paid on the Corporation's common stock.</w:t>
      </w:r>
    </w:p>
    <w:p>
      <w:pPr>
        <w:spacing w:after="0" w:line="39" w:lineRule="exact"/>
        <w:rPr>
          <w:rFonts w:ascii="Times New Roman" w:cs="Times New Roman" w:eastAsia="Times New Roman" w:hAnsi="Times New Roman"/>
          <w:sz w:val="13"/>
          <w:szCs w:val="13"/>
          <w:color w:val="008000"/>
        </w:rPr>
      </w:pPr>
    </w:p>
    <w:p>
      <w:pPr>
        <w:ind w:left="40" w:right="20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 units payable on a 1-for-1 basis, granted under the Kimberly-Clark Corporation Equity Participation Plan. Additional restricted share units are accrued based on dividends paid on the Corporation's common stock.</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automatic surrender of shares to the issuer upon vesting of restricted shares units to satisfy the reporting person's tax withholding obligations.</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vest 30 percent on each of the first and second anniversaries of the grant date and the remaining 40 percent on the third anniversary of the grant date.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Jeffrey S. McFall as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05/04/2026</w:t>
            </w:r>
          </w:p>
        </w:tc>
        <w:tc>
          <w:tcPr>
            <w:tcW w:w="0" w:type="dxa"/>
            <w:vAlign w:val="bottom"/>
          </w:tcPr>
          <w:p>
            <w:pPr>
              <w:spacing w:after="0"/>
              <w:rPr>
                <w:sz w:val="1"/>
                <w:szCs w:val="1"/>
                <w:color w:val="auto"/>
              </w:rPr>
            </w:pPr>
          </w:p>
        </w:tc>
      </w:tr>
      <w:tr>
        <w:trPr>
          <w:trHeight w:val="86"/>
        </w:trPr>
        <w:tc>
          <w:tcPr>
            <w:tcW w:w="1980" w:type="dxa"/>
            <w:vAlign w:val="bottom"/>
            <w:tcBorders>
              <w:top w:val="single" w:sz="8" w:color="auto"/>
              <w:bottom w:val="single" w:sz="8" w:color="auto"/>
            </w:tcBorders>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in-fact for Craig Slavtcheff</w:t>
            </w:r>
          </w:p>
        </w:tc>
        <w:tc>
          <w:tcPr>
            <w:tcW w:w="2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6727" TargetMode="External"/><Relationship Id="rId14"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2026-05-04T16:27:10Z</dcterms:created>
  <dcterms:modified xsi:type="dcterms:W3CDTF">2026-05-04T16:27:10Z</dcterms:modified>
</cp:coreProperties>
</file>