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7048500" cy="6073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073140"/>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5" w:right="359" w:bottom="8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Chen Katy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619100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1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630"/>
        <w:spacing w:after="0"/>
        <w:rPr>
          <w:sz w:val="20"/>
          <w:szCs w:val="20"/>
          <w:color w:val="auto"/>
        </w:rPr>
      </w:pPr>
      <w:r>
        <w:rPr>
          <w:rFonts w:ascii="Times New Roman" w:cs="Times New Roman" w:eastAsia="Times New Roman" w:hAnsi="Times New Roman"/>
          <w:sz w:val="16"/>
          <w:szCs w:val="16"/>
          <w:color w:val="0000FF"/>
        </w:rPr>
        <w:t>President, Int'l Personal Care</w:t>
      </w:r>
    </w:p>
    <w:p>
      <w:pPr>
        <w:spacing w:after="0" w:line="306" w:lineRule="exact"/>
        <w:rPr>
          <w:sz w:val="24"/>
          <w:szCs w:val="24"/>
          <w:color w:val="auto"/>
        </w:rPr>
      </w:pPr>
    </w:p>
    <w:p>
      <w:pPr>
        <w:sectPr>
          <w:pgSz w:w="11900" w:h="16838" w:orient="portrait"/>
          <w:cols w:equalWidth="0" w:num="3">
            <w:col w:w="3180" w:space="720"/>
            <w:col w:w="3110" w:space="720"/>
            <w:col w:w="3350"/>
          </w:cols>
          <w:pgMar w:left="460" w:top="215" w:right="359" w:bottom="89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8"/>
            <w:vMerge w:val="restart"/>
          </w:tcPr>
          <w:p>
            <w:pPr>
              <w:jc w:val="center"/>
              <w:ind w:right="77"/>
              <w:spacing w:after="0"/>
              <w:rPr>
                <w:sz w:val="20"/>
                <w:szCs w:val="20"/>
                <w:color w:val="auto"/>
              </w:rPr>
            </w:pPr>
            <w:r>
              <w:rPr>
                <w:rFonts w:ascii="Arial" w:cs="Arial" w:eastAsia="Arial" w:hAnsi="Arial"/>
                <w:sz w:val="13"/>
                <w:szCs w:val="13"/>
                <w:color w:val="auto"/>
                <w:w w:val="96"/>
              </w:rPr>
              <w:t>4. If Amendment, Date of Original Filed (Month/Day/Year)</w:t>
            </w:r>
          </w:p>
        </w:tc>
        <w:tc>
          <w:tcPr>
            <w:tcW w:w="180" w:type="dxa"/>
            <w:vAlign w:val="bottom"/>
          </w:tcPr>
          <w:p>
            <w:pPr>
              <w:spacing w:after="0"/>
              <w:rPr>
                <w:sz w:val="3"/>
                <w:szCs w:val="3"/>
                <w:color w:val="auto"/>
              </w:rPr>
            </w:pPr>
          </w:p>
        </w:tc>
        <w:tc>
          <w:tcPr>
            <w:tcW w:w="3540" w:type="dxa"/>
            <w:vAlign w:val="bottom"/>
            <w:gridSpan w:val="10"/>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75261-9100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tcPr>
          <w:p>
            <w:pPr>
              <w:ind w:left="12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11"/>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6"/>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2A. Deemed</w:t>
            </w:r>
          </w:p>
        </w:tc>
        <w:tc>
          <w:tcPr>
            <w:tcW w:w="3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760"/>
              <w:spacing w:after="0" w:line="126"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6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gridSpan w:val="3"/>
          </w:tcPr>
          <w:p>
            <w:pPr>
              <w:jc w:val="center"/>
              <w:ind w:left="591"/>
              <w:spacing w:after="0" w:line="126"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16"/>
                <w:szCs w:val="16"/>
                <w:color w:val="0000FF"/>
              </w:rPr>
              <w:t>1,740</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0.0000</w:t>
            </w:r>
            <w:r>
              <w:rPr>
                <w:rFonts w:ascii="Times New Roman" w:cs="Times New Roman" w:eastAsia="Times New Roman" w:hAnsi="Times New Roman"/>
                <w:sz w:val="20"/>
                <w:szCs w:val="20"/>
                <w:color w:val="008000"/>
                <w:w w:val="99"/>
                <w:vertAlign w:val="superscript"/>
              </w:rPr>
              <w:t>(2)</w:t>
            </w: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8,242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16"/>
                <w:szCs w:val="16"/>
                <w:color w:val="0000FF"/>
              </w:rPr>
              <w:t>1,716</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0.0000</w:t>
            </w:r>
            <w:r>
              <w:rPr>
                <w:rFonts w:ascii="Times New Roman" w:cs="Times New Roman" w:eastAsia="Times New Roman" w:hAnsi="Times New Roman"/>
                <w:sz w:val="20"/>
                <w:szCs w:val="20"/>
                <w:color w:val="008000"/>
                <w:w w:val="99"/>
                <w:vertAlign w:val="superscript"/>
              </w:rPr>
              <w:t>(2)</w:t>
            </w: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9,958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05/04/2026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(3)</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1,596</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95.341</w:t>
            </w:r>
            <w:r>
              <w:rPr>
                <w:rFonts w:ascii="Times New Roman" w:cs="Times New Roman" w:eastAsia="Times New Roman" w:hAnsi="Times New Roman"/>
                <w:sz w:val="20"/>
                <w:szCs w:val="20"/>
                <w:color w:val="008000"/>
                <w:w w:val="99"/>
                <w:vertAlign w:val="superscript"/>
              </w:rPr>
              <w:t>(4)</w:t>
            </w: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8,362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5"/>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line="126"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20"/>
              <w:spacing w:after="0" w:line="126" w:lineRule="exact"/>
              <w:rPr>
                <w:sz w:val="20"/>
                <w:szCs w:val="20"/>
                <w:color w:val="auto"/>
              </w:rPr>
            </w:pPr>
            <w:r>
              <w:rPr>
                <w:rFonts w:ascii="Arial" w:cs="Arial" w:eastAsia="Arial" w:hAnsi="Arial"/>
                <w:sz w:val="11"/>
                <w:szCs w:val="11"/>
                <w:b w:val="1"/>
                <w:bCs w:val="1"/>
                <w:color w:val="auto"/>
              </w:rPr>
              <w:t>Expiration Date</w:t>
            </w:r>
          </w:p>
        </w:tc>
        <w:tc>
          <w:tcPr>
            <w:tcW w:w="6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20"/>
              <w:spacing w:after="0" w:line="126"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280" w:type="dxa"/>
            <w:vAlign w:val="bottom"/>
            <w:gridSpan w:val="2"/>
          </w:tcPr>
          <w:p>
            <w:pPr>
              <w:ind w:left="220"/>
              <w:spacing w:after="0" w:line="126"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line="126"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1280" w:type="dxa"/>
            <w:vAlign w:val="bottom"/>
            <w:gridSpan w:val="3"/>
          </w:tcPr>
          <w:p>
            <w:pPr>
              <w:ind w:left="80"/>
              <w:spacing w:after="0" w:line="126" w:lineRule="exact"/>
              <w:rPr>
                <w:sz w:val="20"/>
                <w:szCs w:val="20"/>
                <w:color w:val="auto"/>
              </w:rPr>
            </w:pPr>
            <w:r>
              <w:rPr>
                <w:rFonts w:ascii="Arial" w:cs="Arial" w:eastAsia="Arial" w:hAnsi="Arial"/>
                <w:sz w:val="11"/>
                <w:szCs w:val="11"/>
                <w:b w:val="1"/>
                <w:bCs w:val="1"/>
                <w:color w:val="auto"/>
              </w:rPr>
              <w:t>Acquired (A) or</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Disposed of</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 (Instr. 3,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ind w:left="220"/>
              <w:spacing w:after="0" w:line="126" w:lineRule="exact"/>
              <w:rPr>
                <w:sz w:val="20"/>
                <w:szCs w:val="20"/>
                <w:color w:val="auto"/>
              </w:rPr>
            </w:pPr>
            <w:r>
              <w:rPr>
                <w:rFonts w:ascii="Arial" w:cs="Arial" w:eastAsia="Arial" w:hAnsi="Arial"/>
                <w:sz w:val="11"/>
                <w:szCs w:val="11"/>
                <w:b w:val="1"/>
                <w:bCs w:val="1"/>
                <w:color w:val="auto"/>
                <w:w w:val="92"/>
              </w:rPr>
              <w:t>Date</w:t>
            </w:r>
          </w:p>
        </w:tc>
        <w:tc>
          <w:tcPr>
            <w:tcW w:w="300" w:type="dxa"/>
            <w:vAlign w:val="bottom"/>
          </w:tcPr>
          <w:p>
            <w:pPr>
              <w:spacing w:after="0"/>
              <w:rPr>
                <w:sz w:val="10"/>
                <w:szCs w:val="10"/>
                <w:color w:val="auto"/>
              </w:rPr>
            </w:pPr>
          </w:p>
        </w:tc>
        <w:tc>
          <w:tcPr>
            <w:tcW w:w="820" w:type="dxa"/>
            <w:vAlign w:val="bottom"/>
          </w:tcPr>
          <w:p>
            <w:pPr>
              <w:ind w:left="220"/>
              <w:spacing w:after="0" w:line="126"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1,716</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1,716</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5/01/2024</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2,289</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1,740</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1,740</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5/01/2025</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4,063</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8,191</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5/1/2026</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8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8,191</w:t>
            </w: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8,191</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that have vested and are paid out in shares of common stock. Includes restricted share units which were accrued based on dividends paid on the Corporation's common stock.</w:t>
      </w:r>
    </w:p>
    <w:p>
      <w:pPr>
        <w:spacing w:after="0" w:line="38" w:lineRule="exact"/>
        <w:rPr>
          <w:rFonts w:ascii="Times New Roman" w:cs="Times New Roman" w:eastAsia="Times New Roman" w:hAnsi="Times New Roman"/>
          <w:sz w:val="13"/>
          <w:szCs w:val="13"/>
          <w:color w:val="008000"/>
        </w:rPr>
      </w:pPr>
    </w:p>
    <w:p>
      <w:pPr>
        <w:ind w:left="40" w:right="24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sale of shares to satisfy the reporting person's tax withholding obligations.</w:t>
      </w:r>
    </w:p>
    <w:p>
      <w:pPr>
        <w:spacing w:after="0" w:line="38" w:lineRule="exact"/>
        <w:rPr>
          <w:rFonts w:ascii="Times New Roman" w:cs="Times New Roman" w:eastAsia="Times New Roman" w:hAnsi="Times New Roman"/>
          <w:sz w:val="13"/>
          <w:szCs w:val="13"/>
          <w:color w:val="008000"/>
        </w:rPr>
      </w:pPr>
    </w:p>
    <w:p>
      <w:pPr>
        <w:ind w:left="40" w:right="36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$95.3401 to $95.355.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Jeffrey S. McFall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Katy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73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7343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8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8130"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2026-05-04T17:36:04Z</dcterms:created>
  <dcterms:modified xsi:type="dcterms:W3CDTF">2026-05-04T17:36:04Z</dcterms:modified>
</cp:coreProperties>
</file>