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doc4.xml.htm"/>
      <w:bookmarkStart w:id="1" w:name="ksdoc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Corsi Patricia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619100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DALLAS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75261-9100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KIMBERLY CLARK CORP</w:t>
              </w:r>
            </w:hyperlink>
            <w:r>
              <w:rPr/>
              <w:t xml:space="preserve"> [ </w:t>
            </w:r>
            <w:r>
              <w:rPr>
                <w:rFonts w:ascii="Times;serif" w:hAnsi="Times;serif"/>
                <w:color w:val="0000FF"/>
                <w:sz w:val="24"/>
                <w:shd w:fill="FFFFFF" w:val="clear"/>
              </w:rPr>
              <w:t>KMB</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Growth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07/31/2026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55"/>
        <w:gridCol w:w="905"/>
        <w:gridCol w:w="774"/>
        <w:gridCol w:w="601"/>
        <w:gridCol w:w="348"/>
        <w:gridCol w:w="802"/>
        <w:gridCol w:w="453"/>
        <w:gridCol w:w="884"/>
        <w:gridCol w:w="1161"/>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5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966</w:t>
            </w:r>
            <w:r>
              <w:rPr>
                <w:rFonts w:ascii="Times;serif" w:hAnsi="Times;serif"/>
                <w:color w:val="008000"/>
                <w:position w:val="7"/>
                <w:sz w:val="16"/>
                <w:sz w:val="20"/>
                <w:shd w:fill="FFFFFF" w:val="clear"/>
              </w:rPr>
              <w:t>(1)</w:t>
            </w:r>
          </w:p>
        </w:tc>
        <w:tc>
          <w:tcPr>
            <w:tcW w:w="45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88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0.0000</w:t>
            </w:r>
            <w:r>
              <w:rPr>
                <w:rFonts w:ascii="Times;serif" w:hAnsi="Times;serif"/>
                <w:color w:val="008000"/>
                <w:position w:val="7"/>
                <w:sz w:val="16"/>
                <w:sz w:val="20"/>
                <w:shd w:fill="FFFFFF" w:val="clear"/>
              </w:rPr>
              <w:t>(2)</w:t>
            </w:r>
          </w:p>
        </w:tc>
        <w:tc>
          <w:tcPr>
            <w:tcW w:w="11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2,065</w:t>
            </w:r>
          </w:p>
        </w:tc>
        <w:tc>
          <w:tcPr>
            <w:tcW w:w="99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07/31/2026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(3)</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404</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109.31</w:t>
            </w:r>
          </w:p>
        </w:tc>
        <w:tc>
          <w:tcPr>
            <w:tcW w:w="11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1,661</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858" w:type="dxa"/>
        <w:jc w:val="left"/>
        <w:tblInd w:w="-7" w:type="dxa"/>
        <w:tblLayout w:type="fixed"/>
        <w:tblCellMar>
          <w:top w:w="60" w:type="dxa"/>
          <w:left w:w="60" w:type="dxa"/>
          <w:bottom w:w="60" w:type="dxa"/>
          <w:right w:w="60" w:type="dxa"/>
        </w:tblCellMar>
      </w:tblPr>
      <w:tblGrid>
        <w:gridCol w:w="995"/>
        <w:gridCol w:w="861"/>
        <w:gridCol w:w="891"/>
        <w:gridCol w:w="771"/>
        <w:gridCol w:w="591"/>
        <w:gridCol w:w="300"/>
        <w:gridCol w:w="285"/>
        <w:gridCol w:w="516"/>
        <w:gridCol w:w="906"/>
        <w:gridCol w:w="801"/>
        <w:gridCol w:w="891"/>
        <w:gridCol w:w="636"/>
        <w:gridCol w:w="801"/>
        <w:gridCol w:w="936"/>
        <w:gridCol w:w="831"/>
        <w:gridCol w:w="846"/>
      </w:tblGrid>
      <w:tr>
        <w:trPr>
          <w:tblHeader w:val="true"/>
        </w:trPr>
        <w:tc>
          <w:tcPr>
            <w:tcW w:w="1185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85"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51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 7/31/24 (w/dividends reinvested)</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07/31/2026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8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966</w:t>
            </w:r>
            <w:r>
              <w:rPr>
                <w:rFonts w:ascii="Times;serif" w:hAnsi="Times;serif"/>
                <w:color w:val="008000"/>
                <w:position w:val="7"/>
                <w:sz w:val="16"/>
                <w:sz w:val="20"/>
                <w:shd w:fill="FFFFFF" w:val="clear"/>
              </w:rPr>
              <w:t>(1)</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0.0000</w:t>
            </w:r>
            <w:r>
              <w:rPr>
                <w:rFonts w:ascii="Times;serif" w:hAnsi="Times;serif"/>
                <w:color w:val="008000"/>
                <w:position w:val="7"/>
                <w:sz w:val="16"/>
                <w:sz w:val="20"/>
                <w:shd w:fill="FFFFFF" w:val="clear"/>
              </w:rPr>
              <w:t>(2)</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1,288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restricted share units that have vested and are paid out in shares of common stock. Includes restricted share units which were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share units payable on a 1-for-1 basis, granted under the Kimberly-Clark Corporation Equity Participation Plan. Additional restricted share units are accrued based on dividends paid on the Corporation's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transaction represents the automatic surrender of shares to the issuer upon vesting of restricted shares units to satisfy the reporting person's tax withholding obligations.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restricted share units vest 30 percent each on the first and second anniversaries of the grant date and the remaining 40 percent on the third anniversary of the grant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Jeffrey S. McFall as attorney-in-fact for Patricia Corsi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29066" TargetMode="External"/><Relationship Id="rId5" Type="http://schemas.openxmlformats.org/officeDocument/2006/relationships/hyperlink" Target="http://www.sec.gov/cgi-bin/browse-edgar?action=getcompany&amp;CIK=00000557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715</Words>
  <Characters>3909</Characters>
  <CharactersWithSpaces>4534</CharactersWithSpaces>
  <Paragraphs>118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