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0"/>
          <w:szCs w:val="20"/>
          <w:color w:val="auto"/>
        </w:rPr>
        <w:t>UNITED STATES</w:t>
      </w: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SECURITIES AND EXCHANGE COMMISSION</w:t>
      </w:r>
    </w:p>
    <w:p>
      <w:pPr>
        <w:spacing w:after="0" w:line="254" w:lineRule="exact"/>
        <w:rPr>
          <w:sz w:val="24"/>
          <w:szCs w:val="24"/>
          <w:color w:val="auto"/>
        </w:rPr>
      </w:pPr>
    </w:p>
    <w:p>
      <w:pPr>
        <w:jc w:val="center"/>
        <w:ind w:right="-1100"/>
        <w:spacing w:after="0"/>
        <w:rPr>
          <w:sz w:val="20"/>
          <w:szCs w:val="20"/>
          <w:color w:val="auto"/>
        </w:rPr>
      </w:pPr>
      <w:r>
        <w:rPr>
          <w:rFonts w:ascii="Arial" w:cs="Arial" w:eastAsia="Arial" w:hAnsi="Arial"/>
          <w:sz w:val="20"/>
          <w:szCs w:val="20"/>
          <w:color w:val="auto"/>
        </w:rPr>
        <w:t>Washington, D.C. 20549</w:t>
      </w:r>
    </w:p>
    <w:p>
      <w:pPr>
        <w:spacing w:after="0" w:line="256"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FORM 11-K</w:t>
      </w:r>
    </w:p>
    <w:p>
      <w:pPr>
        <w:sectPr>
          <w:pgSz w:w="11900" w:h="16838" w:orient="portrait"/>
          <w:cols w:equalWidth="0" w:num="1">
            <w:col w:w="10119"/>
          </w:cols>
          <w:pgMar w:left="340" w:top="1238" w:right="1440" w:bottom="1440" w:gutter="0" w:footer="0" w:header="0"/>
        </w:sect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ind w:left="2500"/>
        <w:spacing w:after="0"/>
        <w:rPr>
          <w:sz w:val="20"/>
          <w:szCs w:val="20"/>
          <w:color w:val="auto"/>
        </w:rPr>
      </w:pPr>
      <w:r>
        <w:rPr>
          <w:rFonts w:ascii="Arial" w:cs="Arial" w:eastAsia="Arial" w:hAnsi="Arial"/>
          <w:sz w:val="20"/>
          <w:szCs w:val="20"/>
          <w:b w:val="1"/>
          <w:bCs w:val="1"/>
          <w:color w:val="auto"/>
        </w:rPr>
        <w:t>ANNUAL REPORT PURSUANT TO SECTION 15(d) OF THE</w:t>
      </w:r>
    </w:p>
    <w:p>
      <w:pPr>
        <w:spacing w:after="0" w:line="108" w:lineRule="exact"/>
        <w:rPr>
          <w:sz w:val="24"/>
          <w:szCs w:val="24"/>
          <w:color w:val="auto"/>
        </w:rPr>
      </w:pPr>
    </w:p>
    <w:p>
      <w:pPr>
        <w:jc w:val="center"/>
        <w:ind w:right="-760"/>
        <w:spacing w:after="0"/>
        <w:rPr>
          <w:sz w:val="20"/>
          <w:szCs w:val="20"/>
          <w:color w:val="auto"/>
        </w:rPr>
      </w:pPr>
      <w:r>
        <w:rPr>
          <w:rFonts w:ascii="Arial" w:cs="Arial" w:eastAsia="Arial" w:hAnsi="Arial"/>
          <w:sz w:val="20"/>
          <w:szCs w:val="20"/>
          <w:b w:val="1"/>
          <w:bCs w:val="1"/>
          <w:color w:val="auto"/>
        </w:rPr>
        <w:t>SECURITIES EXCHANGE ACT OF 1934</w:t>
      </w:r>
    </w:p>
    <w:p>
      <w:pPr>
        <w:spacing w:after="0" w:line="258" w:lineRule="exact"/>
        <w:rPr>
          <w:sz w:val="24"/>
          <w:szCs w:val="24"/>
          <w:color w:val="auto"/>
        </w:rPr>
      </w:pPr>
    </w:p>
    <w:p>
      <w:pPr>
        <w:jc w:val="center"/>
        <w:ind w:right="-760"/>
        <w:spacing w:after="0"/>
        <w:rPr>
          <w:sz w:val="20"/>
          <w:szCs w:val="20"/>
          <w:color w:val="auto"/>
        </w:rPr>
      </w:pPr>
      <w:r>
        <w:rPr>
          <w:rFonts w:ascii="Arial" w:cs="Arial" w:eastAsia="Arial" w:hAnsi="Arial"/>
          <w:sz w:val="20"/>
          <w:szCs w:val="20"/>
          <w:color w:val="auto"/>
        </w:rPr>
        <w:t>For the fiscal year ended December 31, 2025</w:t>
      </w:r>
    </w:p>
    <w:p>
      <w:pPr>
        <w:spacing w:after="0" w:line="243" w:lineRule="exact"/>
        <w:rPr>
          <w:sz w:val="24"/>
          <w:szCs w:val="24"/>
          <w:color w:val="auto"/>
        </w:rPr>
      </w:pPr>
    </w:p>
    <w:p>
      <w:pPr>
        <w:jc w:val="center"/>
        <w:ind w:right="-760"/>
        <w:spacing w:after="0"/>
        <w:rPr>
          <w:sz w:val="20"/>
          <w:szCs w:val="20"/>
          <w:color w:val="auto"/>
        </w:rPr>
      </w:pPr>
      <w:r>
        <w:rPr>
          <w:rFonts w:ascii="Arial" w:cs="Arial" w:eastAsia="Arial" w:hAnsi="Arial"/>
          <w:sz w:val="20"/>
          <w:szCs w:val="20"/>
          <w:color w:val="auto"/>
        </w:rPr>
        <w:t>OR</w:t>
      </w:r>
    </w:p>
    <w:p>
      <w:pPr>
        <w:spacing w:after="0" w:line="52" w:lineRule="exact"/>
        <w:rPr>
          <w:sz w:val="24"/>
          <w:szCs w:val="24"/>
          <w:color w:val="auto"/>
        </w:rPr>
      </w:pPr>
    </w:p>
    <w:p>
      <w:pPr>
        <w:jc w:val="center"/>
        <w:ind w:right="-720"/>
        <w:spacing w:after="0"/>
        <w:rPr>
          <w:sz w:val="20"/>
          <w:szCs w:val="20"/>
          <w:color w:val="auto"/>
        </w:rPr>
      </w:pPr>
      <w:r>
        <w:rPr>
          <w:rFonts w:ascii="Arial" w:cs="Arial" w:eastAsia="Arial" w:hAnsi="Arial"/>
          <w:sz w:val="20"/>
          <w:szCs w:val="20"/>
          <w:b w:val="1"/>
          <w:bCs w:val="1"/>
          <w:color w:val="auto"/>
        </w:rPr>
        <w:t>TRANSITION REPORT PURSUANT TO SECTION 15(d) OF THE</w:t>
      </w:r>
    </w:p>
    <w:p>
      <w:pPr>
        <w:spacing w:after="0" w:line="94" w:lineRule="exact"/>
        <w:rPr>
          <w:sz w:val="24"/>
          <w:szCs w:val="24"/>
          <w:color w:val="auto"/>
        </w:rPr>
      </w:pPr>
    </w:p>
    <w:p>
      <w:pPr>
        <w:jc w:val="center"/>
        <w:ind w:right="-760"/>
        <w:spacing w:after="0"/>
        <w:rPr>
          <w:sz w:val="20"/>
          <w:szCs w:val="20"/>
          <w:color w:val="auto"/>
        </w:rPr>
      </w:pPr>
      <w:r>
        <w:rPr>
          <w:rFonts w:ascii="Arial" w:cs="Arial" w:eastAsia="Arial" w:hAnsi="Arial"/>
          <w:sz w:val="20"/>
          <w:szCs w:val="20"/>
          <w:b w:val="1"/>
          <w:bCs w:val="1"/>
          <w:color w:val="auto"/>
        </w:rPr>
        <w:t>SECURITIES EXCHANGE ACT OF 1934</w:t>
      </w:r>
    </w:p>
    <w:p>
      <w:pPr>
        <w:spacing w:after="0" w:line="258" w:lineRule="exact"/>
        <w:rPr>
          <w:sz w:val="24"/>
          <w:szCs w:val="24"/>
          <w:color w:val="auto"/>
        </w:rPr>
      </w:pPr>
    </w:p>
    <w:p>
      <w:pPr>
        <w:ind w:left="2200"/>
        <w:spacing w:after="0"/>
        <w:rPr>
          <w:sz w:val="20"/>
          <w:szCs w:val="20"/>
          <w:color w:val="auto"/>
        </w:rPr>
      </w:pPr>
      <w:r>
        <w:rPr>
          <w:rFonts w:ascii="Arial" w:cs="Arial" w:eastAsia="Arial" w:hAnsi="Arial"/>
          <w:sz w:val="20"/>
          <w:szCs w:val="20"/>
          <w:color w:val="auto"/>
        </w:rPr>
        <w:t>For the transition period from _____________ to _________________</w:t>
      </w:r>
    </w:p>
    <w:p>
      <w:pPr>
        <w:spacing w:after="0" w:line="256" w:lineRule="exact"/>
        <w:rPr>
          <w:sz w:val="24"/>
          <w:szCs w:val="24"/>
          <w:color w:val="auto"/>
        </w:rPr>
      </w:pPr>
    </w:p>
    <w:p>
      <w:pPr>
        <w:ind w:left="3940"/>
        <w:spacing w:after="0"/>
        <w:rPr>
          <w:sz w:val="20"/>
          <w:szCs w:val="20"/>
          <w:color w:val="auto"/>
        </w:rPr>
      </w:pPr>
      <w:r>
        <w:rPr>
          <w:rFonts w:ascii="Arial" w:cs="Arial" w:eastAsia="Arial" w:hAnsi="Arial"/>
          <w:sz w:val="20"/>
          <w:szCs w:val="20"/>
          <w:color w:val="auto"/>
        </w:rPr>
        <w:t>Commission file number 1-225</w:t>
      </w:r>
    </w:p>
    <w:p>
      <w:pPr>
        <w:spacing w:after="0" w:line="243" w:lineRule="exact"/>
        <w:rPr>
          <w:sz w:val="24"/>
          <w:szCs w:val="24"/>
          <w:color w:val="auto"/>
        </w:rPr>
      </w:pPr>
    </w:p>
    <w:p>
      <w:pPr>
        <w:spacing w:after="0"/>
        <w:tabs>
          <w:tab w:leader="none" w:pos="3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9"/>
          <w:szCs w:val="19"/>
          <w:color w:val="auto"/>
        </w:rPr>
        <w:t>Full title of the plan and the address of the plan, if different from that of the issuer named below:</w:t>
      </w:r>
    </w:p>
    <w:p>
      <w:pPr>
        <w:spacing w:after="0" w:line="200" w:lineRule="exact"/>
        <w:rPr>
          <w:sz w:val="24"/>
          <w:szCs w:val="24"/>
          <w:color w:val="auto"/>
        </w:rPr>
      </w:pPr>
    </w:p>
    <w:p>
      <w:pPr>
        <w:sectPr>
          <w:pgSz w:w="11900" w:h="16838" w:orient="portrait"/>
          <w:cols w:equalWidth="0" w:num="2">
            <w:col w:w="260" w:space="60"/>
            <w:col w:w="9799"/>
          </w:cols>
          <w:pgMar w:left="340" w:top="1238" w:right="1440" w:bottom="1440" w:gutter="0" w:footer="0" w:header="0"/>
          <w:type w:val="continuous"/>
        </w:sectPr>
      </w:pPr>
    </w:p>
    <w:p>
      <w:pPr>
        <w:spacing w:after="0" w:line="54"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Kimberly-Clark Corporation 401(k) and Profit Sharing Plan</w:t>
      </w:r>
    </w:p>
    <w:p>
      <w:pPr>
        <w:spacing w:after="0" w:line="243"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2100 Winchester Road</w:t>
      </w:r>
    </w:p>
    <w:p>
      <w:pPr>
        <w:spacing w:after="0" w:line="33"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P.O. Box 349</w:t>
      </w:r>
    </w:p>
    <w:p>
      <w:pPr>
        <w:spacing w:after="0" w:line="13"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Neenah, Wisconsin 54957-0349</w:t>
      </w:r>
    </w:p>
    <w:p>
      <w:pPr>
        <w:spacing w:after="0" w:line="225" w:lineRule="exact"/>
        <w:rPr>
          <w:sz w:val="24"/>
          <w:szCs w:val="24"/>
          <w:color w:val="auto"/>
        </w:rPr>
      </w:pPr>
    </w:p>
    <w:p>
      <w:pPr>
        <w:ind w:left="740" w:hanging="428"/>
        <w:spacing w:after="0"/>
        <w:tabs>
          <w:tab w:leader="none" w:pos="740" w:val="left"/>
        </w:tabs>
        <w:numPr>
          <w:ilvl w:val="0"/>
          <w:numId w:val="1"/>
        </w:numPr>
        <w:rPr>
          <w:rFonts w:ascii="Arial" w:cs="Arial" w:eastAsia="Arial" w:hAnsi="Arial"/>
          <w:sz w:val="19"/>
          <w:szCs w:val="19"/>
          <w:color w:val="auto"/>
        </w:rPr>
      </w:pPr>
      <w:r>
        <w:rPr>
          <w:rFonts w:ascii="Arial" w:cs="Arial" w:eastAsia="Arial" w:hAnsi="Arial"/>
          <w:sz w:val="19"/>
          <w:szCs w:val="19"/>
          <w:color w:val="auto"/>
        </w:rPr>
        <w:t>Name of issuer of the securities held pursuant to the plan and the address of its principal executive office:</w:t>
      </w:r>
    </w:p>
    <w:p>
      <w:pPr>
        <w:spacing w:after="0" w:line="266"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Kimberly-Clark Corporation</w:t>
      </w:r>
    </w:p>
    <w:p>
      <w:pPr>
        <w:spacing w:after="0" w:line="20"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P. O. Box 619100</w:t>
      </w:r>
    </w:p>
    <w:p>
      <w:pPr>
        <w:spacing w:after="0" w:line="13" w:lineRule="exact"/>
        <w:rPr>
          <w:sz w:val="24"/>
          <w:szCs w:val="24"/>
          <w:color w:val="auto"/>
        </w:rPr>
      </w:pPr>
    </w:p>
    <w:p>
      <w:pPr>
        <w:ind w:left="1440"/>
        <w:spacing w:after="0"/>
        <w:rPr>
          <w:sz w:val="20"/>
          <w:szCs w:val="20"/>
          <w:color w:val="auto"/>
        </w:rPr>
      </w:pPr>
      <w:r>
        <w:rPr>
          <w:rFonts w:ascii="Arial" w:cs="Arial" w:eastAsia="Arial" w:hAnsi="Arial"/>
          <w:sz w:val="20"/>
          <w:szCs w:val="20"/>
          <w:b w:val="1"/>
          <w:bCs w:val="1"/>
          <w:color w:val="auto"/>
        </w:rPr>
        <w:t>Dallas, Texas 75261-9100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709295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38" w:right="1440" w:bottom="1440" w:gutter="0" w:footer="0" w:header="0"/>
          <w:type w:val="continuous"/>
        </w:sectPr>
      </w:pPr>
    </w:p>
    <w:bookmarkStart w:id="1" w:name="page2"/>
    <w:bookmarkEnd w:id="1"/>
    <w:p>
      <w:pPr>
        <w:ind w:left="400" w:hanging="392"/>
        <w:spacing w:after="0"/>
        <w:tabs>
          <w:tab w:leader="none" w:pos="40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 and Schedule</w:t>
      </w:r>
    </w:p>
    <w:p>
      <w:pPr>
        <w:spacing w:after="0" w:line="258"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The financial statements and supplemental schedule included with this Form 11-K have been prepared in accordance with the Employee Retirement Income Security Act of 1974.</w:t>
      </w:r>
    </w:p>
    <w:p>
      <w:pPr>
        <w:spacing w:after="0" w:line="194"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Kimberly-Clark Corporation 401(k) and Profit Sharing Plan</w:t>
      </w:r>
    </w:p>
    <w:p>
      <w:pPr>
        <w:spacing w:after="0" w:line="245" w:lineRule="exact"/>
        <w:rPr>
          <w:sz w:val="20"/>
          <w:szCs w:val="20"/>
          <w:color w:val="auto"/>
        </w:rPr>
      </w:pPr>
    </w:p>
    <w:p>
      <w:pPr>
        <w:ind w:right="420"/>
        <w:spacing w:after="0" w:line="286" w:lineRule="auto"/>
        <w:rPr>
          <w:sz w:val="20"/>
          <w:szCs w:val="20"/>
          <w:color w:val="auto"/>
        </w:rPr>
      </w:pPr>
      <w:r>
        <w:rPr>
          <w:rFonts w:ascii="Arial" w:cs="Arial" w:eastAsia="Arial" w:hAnsi="Arial"/>
          <w:sz w:val="20"/>
          <w:szCs w:val="20"/>
          <w:color w:val="auto"/>
        </w:rPr>
        <w:t>The Report of Independent Registered Public Accounting Firm with respect to the financial statements of the Kimberly-Clark Corporation 401(k) and Profit Sharing Plan is set forth in the financial statements filed as Exhibit 99.1.</w:t>
      </w:r>
    </w:p>
    <w:p>
      <w:pPr>
        <w:spacing w:after="0" w:line="179"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c>
          <w:tcPr>
            <w:tcW w:w="1280" w:type="dxa"/>
            <w:vAlign w:val="bottom"/>
          </w:tcPr>
          <w:p>
            <w:pPr>
              <w:spacing w:after="0"/>
              <w:rPr>
                <w:sz w:val="19"/>
                <w:szCs w:val="19"/>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8"/>
              </w:rPr>
              <w:t>Description</w:t>
            </w:r>
          </w:p>
        </w:tc>
        <w:tc>
          <w:tcPr>
            <w:tcW w:w="7260" w:type="dxa"/>
            <w:vAlign w:val="bottom"/>
          </w:tcPr>
          <w:p>
            <w:pPr>
              <w:spacing w:after="0"/>
              <w:rPr>
                <w:sz w:val="19"/>
                <w:szCs w:val="19"/>
                <w:color w:val="auto"/>
              </w:rPr>
            </w:pPr>
          </w:p>
        </w:tc>
      </w:tr>
      <w:tr>
        <w:trPr>
          <w:trHeight w:val="228"/>
        </w:trPr>
        <w:tc>
          <w:tcPr>
            <w:tcW w:w="2880" w:type="dxa"/>
            <w:vAlign w:val="bottom"/>
            <w:gridSpan w:val="3"/>
          </w:tcPr>
          <w:p>
            <w:pPr>
              <w:jc w:val="center"/>
              <w:spacing w:after="0" w:line="229" w:lineRule="exact"/>
              <w:rPr>
                <w:sz w:val="20"/>
                <w:szCs w:val="20"/>
                <w:color w:val="auto"/>
              </w:rPr>
            </w:pPr>
            <w:r>
              <w:rPr>
                <w:rFonts w:ascii="Arial" w:cs="Arial" w:eastAsia="Arial" w:hAnsi="Arial"/>
                <w:sz w:val="20"/>
                <w:szCs w:val="20"/>
                <w:color w:val="auto"/>
              </w:rPr>
              <w:t>23.1</w:t>
            </w:r>
          </w:p>
        </w:tc>
        <w:tc>
          <w:tcPr>
            <w:tcW w:w="8360" w:type="dxa"/>
            <w:vAlign w:val="bottom"/>
            <w:gridSpan w:val="2"/>
          </w:tcPr>
          <w:p>
            <w:pPr>
              <w:spacing w:after="0" w:line="229" w:lineRule="exact"/>
              <w:rPr>
                <w:sz w:val="20"/>
                <w:szCs w:val="20"/>
                <w:color w:val="auto"/>
              </w:rPr>
            </w:pPr>
            <w:r>
              <w:rPr>
                <w:rFonts w:ascii="Arial" w:cs="Arial" w:eastAsia="Arial" w:hAnsi="Arial"/>
                <w:sz w:val="20"/>
                <w:szCs w:val="20"/>
                <w:color w:val="auto"/>
              </w:rPr>
              <w:t>Consent of BDO USA, P.C., Independent Registered Public Accounting</w:t>
            </w:r>
          </w:p>
        </w:tc>
      </w:tr>
      <w:tr>
        <w:trPr>
          <w:trHeight w:val="243"/>
        </w:trPr>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360" w:type="dxa"/>
            <w:vAlign w:val="bottom"/>
            <w:gridSpan w:val="2"/>
          </w:tcPr>
          <w:p>
            <w:pPr>
              <w:spacing w:after="0"/>
              <w:rPr>
                <w:sz w:val="20"/>
                <w:szCs w:val="20"/>
                <w:color w:val="auto"/>
              </w:rPr>
            </w:pPr>
            <w:r>
              <w:rPr>
                <w:rFonts w:ascii="Arial" w:cs="Arial" w:eastAsia="Arial" w:hAnsi="Arial"/>
                <w:sz w:val="20"/>
                <w:szCs w:val="20"/>
                <w:color w:val="auto"/>
              </w:rPr>
              <w:t>Firm dated June 23, 2026</w:t>
            </w:r>
          </w:p>
        </w:tc>
      </w:tr>
      <w:tr>
        <w:trPr>
          <w:trHeight w:val="203"/>
        </w:trPr>
        <w:tc>
          <w:tcPr>
            <w:tcW w:w="2880" w:type="dxa"/>
            <w:vAlign w:val="bottom"/>
            <w:gridSpan w:val="3"/>
          </w:tcPr>
          <w:p>
            <w:pPr>
              <w:jc w:val="center"/>
              <w:spacing w:after="0" w:line="203" w:lineRule="exact"/>
              <w:rPr>
                <w:sz w:val="20"/>
                <w:szCs w:val="20"/>
                <w:color w:val="auto"/>
              </w:rPr>
            </w:pPr>
            <w:r>
              <w:rPr>
                <w:rFonts w:ascii="Arial" w:cs="Arial" w:eastAsia="Arial" w:hAnsi="Arial"/>
                <w:sz w:val="20"/>
                <w:szCs w:val="20"/>
                <w:color w:val="auto"/>
              </w:rPr>
              <w:t>99.1</w:t>
            </w:r>
          </w:p>
        </w:tc>
        <w:tc>
          <w:tcPr>
            <w:tcW w:w="8360" w:type="dxa"/>
            <w:vAlign w:val="bottom"/>
            <w:gridSpan w:val="2"/>
          </w:tcPr>
          <w:p>
            <w:pPr>
              <w:spacing w:after="0" w:line="203" w:lineRule="exact"/>
              <w:rPr>
                <w:sz w:val="20"/>
                <w:szCs w:val="20"/>
                <w:color w:val="auto"/>
              </w:rPr>
            </w:pPr>
            <w:r>
              <w:rPr>
                <w:rFonts w:ascii="Arial" w:cs="Arial" w:eastAsia="Arial" w:hAnsi="Arial"/>
                <w:sz w:val="20"/>
                <w:szCs w:val="20"/>
                <w:color w:val="auto"/>
              </w:rPr>
              <w:t>Kimberly-Clark Corporation 401(k) and Profit Sharing Plan Financial</w:t>
            </w:r>
          </w:p>
        </w:tc>
      </w:tr>
      <w:tr>
        <w:trPr>
          <w:trHeight w:val="261"/>
        </w:trPr>
        <w:tc>
          <w:tcPr>
            <w:tcW w:w="1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360" w:type="dxa"/>
            <w:vAlign w:val="bottom"/>
            <w:gridSpan w:val="2"/>
          </w:tcPr>
          <w:p>
            <w:pPr>
              <w:spacing w:after="0"/>
              <w:rPr>
                <w:sz w:val="20"/>
                <w:szCs w:val="20"/>
                <w:color w:val="auto"/>
              </w:rPr>
            </w:pPr>
            <w:r>
              <w:rPr>
                <w:rFonts w:ascii="Arial" w:cs="Arial" w:eastAsia="Arial" w:hAnsi="Arial"/>
                <w:sz w:val="20"/>
                <w:szCs w:val="20"/>
                <w:color w:val="auto"/>
              </w:rPr>
              <w:t>Statements as of and for the years ended December 31, 2025 and 2024</w:t>
            </w:r>
          </w:p>
        </w:tc>
      </w:tr>
      <w:tr>
        <w:trPr>
          <w:trHeight w:val="1212"/>
        </w:trPr>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color w:val="auto"/>
        </w:rPr>
        <w:t>SIGNATURES</w:t>
      </w:r>
    </w:p>
    <w:p>
      <w:pPr>
        <w:spacing w:after="0" w:line="256" w:lineRule="exact"/>
        <w:rPr>
          <w:sz w:val="20"/>
          <w:szCs w:val="20"/>
          <w:color w:val="auto"/>
        </w:rPr>
      </w:pPr>
    </w:p>
    <w:p>
      <w:pPr>
        <w:jc w:val="both"/>
        <w:ind w:right="100"/>
        <w:spacing w:after="0" w:line="262" w:lineRule="auto"/>
        <w:rPr>
          <w:sz w:val="20"/>
          <w:szCs w:val="20"/>
          <w:color w:val="auto"/>
        </w:rPr>
      </w:pPr>
      <w:r>
        <w:rPr>
          <w:rFonts w:ascii="Arial" w:cs="Arial" w:eastAsia="Arial" w:hAnsi="Arial"/>
          <w:sz w:val="20"/>
          <w:szCs w:val="20"/>
          <w:color w:val="auto"/>
        </w:rPr>
        <w:t>Pursuant to the requirements of the Securities Exchange Act of 1934, Kimberly-Clark Corporation, as Plan Administrator of the Kimberly-Clark Corporation 401(k) and Profit Sharing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KIMBERLY-CLARK CORPORATION 401(k) AND PROFIT SHARING PLAN</w:t>
      </w:r>
    </w:p>
    <w:p>
      <w:pPr>
        <w:spacing w:after="0" w:line="233" w:lineRule="exact"/>
        <w:rPr>
          <w:sz w:val="20"/>
          <w:szCs w:val="20"/>
          <w:color w:val="auto"/>
        </w:rPr>
      </w:pPr>
    </w:p>
    <w:p>
      <w:pPr>
        <w:ind w:left="6660"/>
        <w:spacing w:after="0"/>
        <w:tabs>
          <w:tab w:leader="none" w:pos="7240" w:val="left"/>
        </w:tabs>
        <w:rPr>
          <w:sz w:val="20"/>
          <w:szCs w:val="20"/>
          <w:color w:val="auto"/>
        </w:rPr>
      </w:pPr>
      <w:r>
        <w:rPr>
          <w:rFonts w:ascii="Arial" w:cs="Arial" w:eastAsia="Arial" w:hAnsi="Arial"/>
          <w:sz w:val="20"/>
          <w:szCs w:val="20"/>
          <w:color w:val="auto"/>
        </w:rPr>
        <w:t>By:</w:t>
        <w:tab/>
        <w:t>Kimberly-Clark Corporation</w:t>
      </w:r>
    </w:p>
    <w:p>
      <w:pPr>
        <w:ind w:left="7260"/>
        <w:spacing w:after="0"/>
        <w:rPr>
          <w:sz w:val="20"/>
          <w:szCs w:val="20"/>
          <w:color w:val="auto"/>
        </w:rPr>
      </w:pPr>
      <w:r>
        <w:rPr>
          <w:rFonts w:ascii="Arial" w:cs="Arial" w:eastAsia="Arial" w:hAnsi="Arial"/>
          <w:sz w:val="20"/>
          <w:szCs w:val="20"/>
          <w:color w:val="auto"/>
        </w:rPr>
        <w:t>Plan Administrator</w:t>
      </w:r>
    </w:p>
    <w:p>
      <w:pPr>
        <w:spacing w:after="0" w:line="265" w:lineRule="exact"/>
        <w:rPr>
          <w:sz w:val="20"/>
          <w:szCs w:val="20"/>
          <w:color w:val="auto"/>
        </w:rPr>
      </w:pPr>
    </w:p>
    <w:p>
      <w:pPr>
        <w:ind w:left="20"/>
        <w:spacing w:after="0"/>
        <w:tabs>
          <w:tab w:leader="none" w:pos="800" w:val="left"/>
          <w:tab w:leader="none" w:pos="6640" w:val="left"/>
          <w:tab w:leader="none" w:pos="7240" w:val="left"/>
        </w:tabs>
        <w:rPr>
          <w:sz w:val="20"/>
          <w:szCs w:val="20"/>
          <w:color w:val="auto"/>
        </w:rPr>
      </w:pPr>
      <w:r>
        <w:rPr>
          <w:rFonts w:ascii="Arial" w:cs="Arial" w:eastAsia="Arial" w:hAnsi="Arial"/>
          <w:sz w:val="20"/>
          <w:szCs w:val="20"/>
          <w:color w:val="auto"/>
        </w:rPr>
        <w:t>Date:</w:t>
        <w:tab/>
        <w:t>June 23,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Alisa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22225</wp:posOffset>
            </wp:positionV>
            <wp:extent cx="2511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 w:lineRule="exact"/>
        <w:rPr>
          <w:sz w:val="20"/>
          <w:szCs w:val="20"/>
          <w:color w:val="auto"/>
        </w:rPr>
      </w:pPr>
    </w:p>
    <w:p>
      <w:pPr>
        <w:ind w:left="7260"/>
        <w:spacing w:after="0"/>
        <w:rPr>
          <w:sz w:val="20"/>
          <w:szCs w:val="20"/>
          <w:color w:val="auto"/>
        </w:rPr>
      </w:pPr>
      <w:r>
        <w:rPr>
          <w:rFonts w:ascii="Arial" w:cs="Arial" w:eastAsia="Arial" w:hAnsi="Arial"/>
          <w:sz w:val="20"/>
          <w:szCs w:val="20"/>
          <w:color w:val="auto"/>
        </w:rPr>
        <w:t>Director of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1"/>
        </w:trPr>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20" w:type="dxa"/>
            <w:vAlign w:val="bottom"/>
            <w:gridSpan w:val="4"/>
          </w:tcPr>
          <w:p>
            <w:pPr>
              <w:jc w:val="right"/>
              <w:ind w:right="2860"/>
              <w:spacing w:after="0"/>
              <w:rPr>
                <w:sz w:val="20"/>
                <w:szCs w:val="20"/>
                <w:color w:val="auto"/>
              </w:rPr>
            </w:pPr>
            <w:r>
              <w:rPr>
                <w:rFonts w:ascii="Arial" w:cs="Arial" w:eastAsia="Arial" w:hAnsi="Arial"/>
                <w:sz w:val="20"/>
                <w:szCs w:val="20"/>
                <w:color w:val="auto"/>
              </w:rPr>
              <w:t>EXHIBIT INDEX</w:t>
            </w:r>
          </w:p>
        </w:tc>
      </w:tr>
      <w:tr>
        <w:trPr>
          <w:trHeight w:val="719"/>
        </w:trPr>
        <w:tc>
          <w:tcPr>
            <w:tcW w:w="1780" w:type="dxa"/>
            <w:vAlign w:val="bottom"/>
            <w:gridSpan w:val="2"/>
          </w:tcPr>
          <w:p>
            <w:pPr>
              <w:jc w:val="center"/>
              <w:ind w:right="1120"/>
              <w:spacing w:after="0"/>
              <w:rPr>
                <w:sz w:val="20"/>
                <w:szCs w:val="20"/>
                <w:color w:val="auto"/>
              </w:rPr>
            </w:pPr>
            <w:r>
              <w:rPr>
                <w:rFonts w:ascii="Arial" w:cs="Arial" w:eastAsia="Arial" w:hAnsi="Arial"/>
                <w:sz w:val="20"/>
                <w:szCs w:val="20"/>
                <w:b w:val="1"/>
                <w:bCs w:val="1"/>
                <w:color w:val="auto"/>
                <w:w w:val="98"/>
              </w:rPr>
              <w:t>Exhibit</w:t>
            </w:r>
          </w:p>
        </w:tc>
        <w:tc>
          <w:tcPr>
            <w:tcW w:w="6320" w:type="dxa"/>
            <w:vAlign w:val="bottom"/>
            <w:gridSpan w:val="5"/>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 w:type="dxa"/>
            <w:vAlign w:val="bottom"/>
          </w:tcPr>
          <w:p>
            <w:pPr>
              <w:jc w:val="center"/>
              <w:spacing w:after="0"/>
              <w:rPr>
                <w:sz w:val="20"/>
                <w:szCs w:val="20"/>
                <w:color w:val="auto"/>
              </w:rPr>
            </w:pPr>
            <w:r>
              <w:rPr>
                <w:rFonts w:ascii="Arial" w:cs="Arial" w:eastAsia="Arial" w:hAnsi="Arial"/>
                <w:sz w:val="20"/>
                <w:szCs w:val="20"/>
                <w:color w:val="auto"/>
              </w:rPr>
              <w:t>23.1</w:t>
            </w:r>
          </w:p>
        </w:tc>
        <w:tc>
          <w:tcPr>
            <w:tcW w:w="1120" w:type="dxa"/>
            <w:vAlign w:val="bottom"/>
          </w:tcPr>
          <w:p>
            <w:pPr>
              <w:spacing w:after="0"/>
              <w:rPr>
                <w:sz w:val="20"/>
                <w:szCs w:val="20"/>
                <w:color w:val="auto"/>
              </w:rPr>
            </w:pPr>
          </w:p>
        </w:tc>
        <w:tc>
          <w:tcPr>
            <w:tcW w:w="6320" w:type="dxa"/>
            <w:vAlign w:val="bottom"/>
            <w:gridSpan w:val="5"/>
          </w:tcPr>
          <w:p>
            <w:pPr>
              <w:spacing w:after="0"/>
              <w:rPr>
                <w:sz w:val="20"/>
                <w:szCs w:val="20"/>
                <w:color w:val="auto"/>
              </w:rPr>
            </w:pPr>
            <w:r>
              <w:rPr>
                <w:rFonts w:ascii="Arial" w:cs="Arial" w:eastAsia="Arial" w:hAnsi="Arial"/>
                <w:sz w:val="20"/>
                <w:szCs w:val="20"/>
                <w:color w:val="0000FF"/>
                <w:w w:val="99"/>
              </w:rPr>
              <w:t>Consent of BDO USA, P.C., Independent Registered Public Accounting</w:t>
            </w:r>
          </w:p>
        </w:tc>
      </w:tr>
      <w:tr>
        <w:trPr>
          <w:trHeight w:val="169"/>
        </w:trPr>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2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9"/>
                <w:szCs w:val="19"/>
                <w:color w:val="0000FF"/>
              </w:rPr>
              <w:t>Firm dated June 23, 2026</w:t>
            </w:r>
          </w:p>
        </w:tc>
        <w:tc>
          <w:tcPr>
            <w:tcW w:w="10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230"/>
        </w:trPr>
        <w:tc>
          <w:tcPr>
            <w:tcW w:w="660" w:type="dxa"/>
            <w:vAlign w:val="bottom"/>
          </w:tcPr>
          <w:p>
            <w:pPr>
              <w:jc w:val="center"/>
              <w:spacing w:after="0" w:line="223" w:lineRule="exact"/>
              <w:rPr>
                <w:sz w:val="20"/>
                <w:szCs w:val="20"/>
                <w:color w:val="auto"/>
              </w:rPr>
            </w:pPr>
            <w:r>
              <w:rPr>
                <w:rFonts w:ascii="Arial" w:cs="Arial" w:eastAsia="Arial" w:hAnsi="Arial"/>
                <w:sz w:val="20"/>
                <w:szCs w:val="20"/>
                <w:color w:val="auto"/>
              </w:rPr>
              <w:t>99.1</w:t>
            </w:r>
          </w:p>
        </w:tc>
        <w:tc>
          <w:tcPr>
            <w:tcW w:w="1120" w:type="dxa"/>
            <w:vAlign w:val="bottom"/>
          </w:tcPr>
          <w:p>
            <w:pPr>
              <w:spacing w:after="0"/>
              <w:rPr>
                <w:sz w:val="20"/>
                <w:szCs w:val="20"/>
                <w:color w:val="auto"/>
              </w:rPr>
            </w:pPr>
          </w:p>
        </w:tc>
        <w:tc>
          <w:tcPr>
            <w:tcW w:w="6320" w:type="dxa"/>
            <w:vAlign w:val="bottom"/>
            <w:gridSpan w:val="5"/>
          </w:tcPr>
          <w:p>
            <w:pPr>
              <w:spacing w:after="0" w:line="223" w:lineRule="exact"/>
              <w:rPr>
                <w:sz w:val="20"/>
                <w:szCs w:val="20"/>
                <w:color w:val="auto"/>
              </w:rPr>
            </w:pPr>
            <w:r>
              <w:rPr>
                <w:rFonts w:ascii="Arial" w:cs="Arial" w:eastAsia="Arial" w:hAnsi="Arial"/>
                <w:sz w:val="20"/>
                <w:szCs w:val="20"/>
                <w:color w:val="0000FF"/>
              </w:rPr>
              <w:t>Kimberly-Clark Corporation 401(k) and Profit Sharing Plan Financial</w:t>
            </w:r>
          </w:p>
        </w:tc>
      </w:tr>
      <w:tr>
        <w:trPr>
          <w:trHeight w:val="176"/>
        </w:trPr>
        <w:tc>
          <w:tcPr>
            <w:tcW w:w="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940" w:type="dxa"/>
            <w:vAlign w:val="bottom"/>
            <w:tcBorders>
              <w:top w:val="single" w:sz="8" w:color="0000FF"/>
              <w:bottom w:val="single" w:sz="8" w:color="0000FF"/>
            </w:tcBorders>
            <w:gridSpan w:val="3"/>
          </w:tcPr>
          <w:p>
            <w:pPr>
              <w:spacing w:after="0" w:line="176" w:lineRule="exact"/>
              <w:rPr>
                <w:sz w:val="20"/>
                <w:szCs w:val="20"/>
                <w:color w:val="auto"/>
              </w:rPr>
            </w:pPr>
            <w:r>
              <w:rPr>
                <w:rFonts w:ascii="Arial" w:cs="Arial" w:eastAsia="Arial" w:hAnsi="Arial"/>
                <w:sz w:val="20"/>
                <w:szCs w:val="20"/>
                <w:color w:val="0000FF"/>
              </w:rPr>
              <w:t>Statements as of and for the years ended December 31, 2025 and</w:t>
            </w:r>
          </w:p>
        </w:tc>
        <w:tc>
          <w:tcPr>
            <w:tcW w:w="380" w:type="dxa"/>
            <w:vAlign w:val="bottom"/>
            <w:tcBorders>
              <w:bottom w:val="single" w:sz="8" w:color="0000FF"/>
            </w:tcBorders>
            <w:gridSpan w:val="2"/>
          </w:tcPr>
          <w:p>
            <w:pPr>
              <w:jc w:val="right"/>
              <w:spacing w:after="0" w:line="176" w:lineRule="exact"/>
              <w:rPr>
                <w:sz w:val="20"/>
                <w:szCs w:val="20"/>
                <w:color w:val="auto"/>
              </w:rPr>
            </w:pPr>
            <w:r>
              <w:rPr>
                <w:rFonts w:ascii="Arial" w:cs="Arial" w:eastAsia="Arial" w:hAnsi="Arial"/>
                <w:sz w:val="20"/>
                <w:szCs w:val="20"/>
                <w:color w:val="0000FF"/>
                <w:w w:val="80"/>
              </w:rPr>
              <w:t>2024</w:t>
            </w:r>
          </w:p>
        </w:tc>
      </w:tr>
    </w:tbl>
    <w:p>
      <w:pPr>
        <w:sectPr>
          <w:pgSz w:w="11900" w:h="16838" w:orient="portrait"/>
          <w:cols w:equalWidth="0" w:num="1">
            <w:col w:w="9039"/>
          </w:cols>
          <w:pgMar w:left="1420" w:top="887" w:right="144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94297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42975" cy="565785"/>
                    </a:xfrm>
                    <a:prstGeom prst="rect">
                      <a:avLst/>
                    </a:prstGeom>
                    <a:noFill/>
                  </pic:spPr>
                </pic:pic>
              </a:graphicData>
            </a:graphic>
          </wp:anchor>
        </w:drawing>
      </w:r>
    </w:p>
    <w:tbl>
      <w:tblPr>
        <w:tblLayout w:type="fixed"/>
        <w:tblInd w:w="4200" w:type="dxa"/>
        <w:tblCellMar>
          <w:top w:w="0" w:type="dxa"/>
          <w:left w:w="0" w:type="dxa"/>
          <w:bottom w:w="0" w:type="dxa"/>
          <w:right w:w="0" w:type="dxa"/>
        </w:tblCellMar>
      </w:tblPr>
      <w:tr>
        <w:trPr>
          <w:trHeight w:val="175"/>
        </w:trPr>
        <w:tc>
          <w:tcPr>
            <w:tcW w:w="2700" w:type="dxa"/>
            <w:vAlign w:val="bottom"/>
          </w:tcPr>
          <w:p>
            <w:pPr>
              <w:spacing w:after="0"/>
              <w:rPr>
                <w:sz w:val="20"/>
                <w:szCs w:val="20"/>
                <w:color w:val="auto"/>
              </w:rPr>
            </w:pPr>
            <w:r>
              <w:rPr>
                <w:rFonts w:ascii="Arial" w:cs="Arial" w:eastAsia="Arial" w:hAnsi="Arial"/>
                <w:sz w:val="14"/>
                <w:szCs w:val="14"/>
                <w:color w:val="auto"/>
              </w:rPr>
              <w:t>Tel: 214-969-7007</w:t>
            </w:r>
          </w:p>
        </w:tc>
        <w:tc>
          <w:tcPr>
            <w:tcW w:w="3280" w:type="dxa"/>
            <w:vAlign w:val="bottom"/>
            <w:vMerge w:val="restart"/>
          </w:tcPr>
          <w:p>
            <w:pPr>
              <w:ind w:left="1500"/>
              <w:spacing w:after="0"/>
              <w:rPr>
                <w:sz w:val="20"/>
                <w:szCs w:val="20"/>
                <w:color w:val="auto"/>
              </w:rPr>
            </w:pPr>
            <w:r>
              <w:rPr>
                <w:rFonts w:ascii="Arial" w:cs="Arial" w:eastAsia="Arial" w:hAnsi="Arial"/>
                <w:sz w:val="14"/>
                <w:szCs w:val="14"/>
                <w:color w:val="685040"/>
              </w:rPr>
              <w:t>600 North Pearl, Suite 1700</w:t>
            </w:r>
          </w:p>
        </w:tc>
        <w:tc>
          <w:tcPr>
            <w:tcW w:w="0" w:type="dxa"/>
            <w:vAlign w:val="bottom"/>
          </w:tcPr>
          <w:p>
            <w:pPr>
              <w:spacing w:after="0"/>
              <w:rPr>
                <w:sz w:val="1"/>
                <w:szCs w:val="1"/>
                <w:color w:val="auto"/>
              </w:rPr>
            </w:pPr>
          </w:p>
        </w:tc>
      </w:tr>
      <w:tr>
        <w:trPr>
          <w:trHeight w:val="68"/>
        </w:trPr>
        <w:tc>
          <w:tcPr>
            <w:tcW w:w="2700" w:type="dxa"/>
            <w:vAlign w:val="bottom"/>
            <w:vMerge w:val="restart"/>
          </w:tcPr>
          <w:p>
            <w:pPr>
              <w:spacing w:after="0"/>
              <w:rPr>
                <w:sz w:val="20"/>
                <w:szCs w:val="20"/>
                <w:color w:val="auto"/>
              </w:rPr>
            </w:pPr>
            <w:r>
              <w:rPr>
                <w:rFonts w:ascii="Arial" w:cs="Arial" w:eastAsia="Arial" w:hAnsi="Arial"/>
                <w:sz w:val="14"/>
                <w:szCs w:val="14"/>
                <w:color w:val="auto"/>
              </w:rPr>
              <w:t>Fax: 214-953-0722</w:t>
            </w: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3280" w:type="dxa"/>
            <w:vAlign w:val="bottom"/>
            <w:vMerge w:val="restart"/>
          </w:tcPr>
          <w:p>
            <w:pPr>
              <w:ind w:left="1500"/>
              <w:spacing w:after="0"/>
              <w:rPr>
                <w:sz w:val="20"/>
                <w:szCs w:val="20"/>
                <w:color w:val="auto"/>
              </w:rPr>
            </w:pPr>
            <w:r>
              <w:rPr>
                <w:rFonts w:ascii="Arial" w:cs="Arial" w:eastAsia="Arial" w:hAnsi="Arial"/>
                <w:sz w:val="14"/>
                <w:szCs w:val="14"/>
                <w:color w:val="685040"/>
              </w:rPr>
              <w:t>Dallas, TX 75201</w:t>
            </w:r>
          </w:p>
        </w:tc>
        <w:tc>
          <w:tcPr>
            <w:tcW w:w="0" w:type="dxa"/>
            <w:vAlign w:val="bottom"/>
          </w:tcPr>
          <w:p>
            <w:pPr>
              <w:spacing w:after="0"/>
              <w:rPr>
                <w:sz w:val="1"/>
                <w:szCs w:val="1"/>
                <w:color w:val="auto"/>
              </w:rPr>
            </w:pPr>
          </w:p>
        </w:tc>
      </w:tr>
      <w:tr>
        <w:trPr>
          <w:trHeight w:val="82"/>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www.bdo.com</w:t>
            </w: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00" w:type="dxa"/>
            <w:vAlign w:val="bottom"/>
            <w:vMerge w:val="continue"/>
          </w:tcPr>
          <w:p>
            <w:pPr>
              <w:spacing w:after="0"/>
              <w:rPr>
                <w:sz w:val="9"/>
                <w:szCs w:val="9"/>
                <w:color w:val="auto"/>
              </w:rPr>
            </w:pPr>
          </w:p>
        </w:tc>
        <w:tc>
          <w:tcPr>
            <w:tcW w:w="3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333-163891 and 333-214818 of Kimberly-Clark Corporation of our report dated June 23, 2026, relating to the financial statements and supplemental schedule of Kimberly-Clark Corporation 401(k) and Profit Sharing Plan which appear in this Form 11-K for the year ended December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ectPr>
          <w:pgSz w:w="11900" w:h="16838" w:orient="portrait"/>
          <w:cols w:equalWidth="0" w:num="1">
            <w:col w:w="11240"/>
          </w:cols>
          <w:pgMar w:left="320" w:top="38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KIMBERLY-CLARK CORPORATION 401(K) AND</w:t>
      </w:r>
    </w:p>
    <w:p>
      <w:pPr>
        <w:spacing w:after="0" w:line="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PROFIT SHARING PLAN</w:t>
      </w:r>
    </w:p>
    <w:p>
      <w:pPr>
        <w:spacing w:after="0" w:line="2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Employer ID 39-0394230</w:t>
      </w:r>
    </w:p>
    <w:p>
      <w:pPr>
        <w:spacing w:after="0" w:line="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Plan ID 016</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Financial Statements as of and for the Years Ended</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December 31, 2025 and 2024</w:t>
      </w: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Supplemental Schedule</w:t>
      </w:r>
    </w:p>
    <w:p>
      <w:pPr>
        <w:spacing w:after="0" w:line="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As of December 31, 2025</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9"/>
          <w:szCs w:val="29"/>
          <w:color w:val="auto"/>
        </w:rPr>
        <w:t>(With Report of Independent Registered Public Accounting Firm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1030605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45"/>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3"/>
        </w:trPr>
        <w:tc>
          <w:tcPr>
            <w:tcW w:w="600" w:type="dxa"/>
            <w:vAlign w:val="bottom"/>
          </w:tcPr>
          <w:p>
            <w:pPr>
              <w:spacing w:after="0"/>
              <w:rPr>
                <w:sz w:val="21"/>
                <w:szCs w:val="21"/>
                <w:color w:val="auto"/>
              </w:rPr>
            </w:pP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3</w:t>
            </w:r>
          </w:p>
        </w:tc>
        <w:tc>
          <w:tcPr>
            <w:tcW w:w="15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154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600" w:type="dxa"/>
            <w:vAlign w:val="bottom"/>
          </w:tcPr>
          <w:p>
            <w:pPr>
              <w:spacing w:after="0"/>
              <w:rPr>
                <w:sz w:val="18"/>
                <w:szCs w:val="18"/>
                <w:color w:val="auto"/>
              </w:rPr>
            </w:pP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for the Years Ended December 31, 2025 and 2024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6</w:t>
            </w:r>
          </w:p>
        </w:tc>
        <w:tc>
          <w:tcPr>
            <w:tcW w:w="154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7</w:t>
            </w:r>
          </w:p>
        </w:tc>
        <w:tc>
          <w:tcPr>
            <w:tcW w:w="1540" w:type="dxa"/>
            <w:vAlign w:val="bottom"/>
          </w:tcPr>
          <w:p>
            <w:pPr>
              <w:spacing w:after="0"/>
              <w:rPr>
                <w:sz w:val="18"/>
                <w:szCs w:val="18"/>
                <w:color w:val="auto"/>
              </w:rPr>
            </w:pPr>
          </w:p>
        </w:tc>
      </w:tr>
      <w:tr>
        <w:trPr>
          <w:trHeight w:val="304"/>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SCHEDULE AS OF DECEMBER 31, 2025</w:t>
            </w: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r>
      <w:tr>
        <w:trPr>
          <w:trHeight w:val="243"/>
        </w:trPr>
        <w:tc>
          <w:tcPr>
            <w:tcW w:w="600" w:type="dxa"/>
            <w:vAlign w:val="bottom"/>
          </w:tcPr>
          <w:p>
            <w:pPr>
              <w:spacing w:after="0"/>
              <w:rPr>
                <w:sz w:val="21"/>
                <w:szCs w:val="21"/>
                <w:color w:val="auto"/>
              </w:rPr>
            </w:pP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Schedule of Assets (Held at End of Year)</w:t>
            </w:r>
          </w:p>
        </w:tc>
        <w:tc>
          <w:tcPr>
            <w:tcW w:w="200" w:type="dxa"/>
            <w:vAlign w:val="bottom"/>
            <w:tcBorders>
              <w:bottom w:val="single" w:sz="8" w:color="0000FF"/>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15</w:t>
            </w:r>
          </w:p>
        </w:tc>
        <w:tc>
          <w:tcPr>
            <w:tcW w:w="1540" w:type="dxa"/>
            <w:vAlign w:val="bottom"/>
          </w:tcPr>
          <w:p>
            <w:pPr>
              <w:spacing w:after="0"/>
              <w:rPr>
                <w:sz w:val="21"/>
                <w:szCs w:val="21"/>
                <w:color w:val="auto"/>
              </w:rPr>
            </w:pPr>
          </w:p>
        </w:tc>
      </w:tr>
      <w:tr>
        <w:trPr>
          <w:trHeight w:val="345"/>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NOTE:</w:t>
            </w:r>
          </w:p>
        </w:tc>
        <w:tc>
          <w:tcPr>
            <w:tcW w:w="106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accompanying financial statements have been prepared in part for the purpose of filing with the Department of Labor's Form 5500.</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t>Supplemental schedules required by Section 2520.103-10 of the Department of Labor's Rules and Regulations for Reporting and Disclosure under the Employee Retirement Income Security Act of 1974 ("ERISA"), other than the schedule listed above, are omitted because of the absence of the conditions under which they are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ind w:left="37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94297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942975" cy="565785"/>
                    </a:xfrm>
                    <a:prstGeom prst="rect">
                      <a:avLst/>
                    </a:prstGeom>
                    <a:noFill/>
                  </pic:spPr>
                </pic:pic>
              </a:graphicData>
            </a:graphic>
          </wp:anchor>
        </w:drawing>
        <w:t>Tel: 214-969-7007 Fax: 214-953-0722</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685040"/>
        </w:rPr>
        <w:t>600 North Pearl, Suite 1700 Dallas, TX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685040"/>
        </w:rPr>
        <w:t>75201</w:t>
      </w:r>
    </w:p>
    <w:p>
      <w:pPr>
        <w:spacing w:after="0" w:line="200" w:lineRule="exact"/>
        <w:rPr>
          <w:sz w:val="20"/>
          <w:szCs w:val="20"/>
          <w:color w:val="auto"/>
        </w:rPr>
      </w:pPr>
    </w:p>
    <w:p>
      <w:pPr>
        <w:sectPr>
          <w:pgSz w:w="11900" w:h="16838" w:orient="portrait"/>
          <w:cols w:equalWidth="0" w:num="2">
            <w:col w:w="6780" w:space="720"/>
            <w:col w:w="3740"/>
          </w:cols>
          <w:pgMar w:left="320" w:top="48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 401(k) and Profit Sharing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Kimberly-Clark Corporation 401(k) and Profit Sharing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ERISA-required Supplemental Schedule H, line 4i-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w:t>
      </w:r>
    </w:p>
    <w:p>
      <w:pPr>
        <w:spacing w:after="0" w:line="264" w:lineRule="exact"/>
        <w:rPr>
          <w:sz w:val="20"/>
          <w:szCs w:val="20"/>
          <w:color w:val="auto"/>
        </w:rPr>
      </w:pPr>
    </w:p>
    <w:p>
      <w:pPr>
        <w:spacing w:after="0"/>
        <w:rPr>
          <w:sz w:val="20"/>
          <w:szCs w:val="20"/>
          <w:color w:val="auto"/>
        </w:rPr>
      </w:pPr>
      <w:r>
        <w:rPr>
          <w:rFonts w:ascii="Arial" w:cs="Arial" w:eastAsia="Arial" w:hAnsi="Arial"/>
          <w:sz w:val="11"/>
          <w:szCs w:val="11"/>
          <w:color w:val="685040"/>
        </w:rPr>
        <w:t>BDO USA, P.C., a Virginia professional;, is the U.S. member of BDO International Limited, a UK company limited by guarantee, and forms part of the international BDO network of independent member firms.</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8" w:name="page9"/>
    <w:bookmarkEnd w:id="8"/>
    <w:p>
      <w:pPr>
        <w:ind w:left="37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942975"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42975" cy="565785"/>
                    </a:xfrm>
                    <a:prstGeom prst="rect">
                      <a:avLst/>
                    </a:prstGeom>
                    <a:noFill/>
                  </pic:spPr>
                </pic:pic>
              </a:graphicData>
            </a:graphic>
          </wp:anchor>
        </w:drawing>
        <w:t>Tel: 214-969-7007 Fax: 214-953-0722</w:t>
      </w:r>
    </w:p>
    <w:p>
      <w:pPr>
        <w:spacing w:after="0" w:line="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685040"/>
        </w:rPr>
        <w:t>600 North Pearl, Suite 1700 Dallas, TX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685040"/>
        </w:rPr>
        <w:t>75201</w:t>
      </w:r>
    </w:p>
    <w:p>
      <w:pPr>
        <w:spacing w:after="0" w:line="200" w:lineRule="exact"/>
        <w:rPr>
          <w:sz w:val="20"/>
          <w:szCs w:val="20"/>
          <w:color w:val="auto"/>
        </w:rPr>
      </w:pPr>
    </w:p>
    <w:p>
      <w:pPr>
        <w:sectPr>
          <w:pgSz w:w="11900" w:h="16838" w:orient="portrait"/>
          <w:cols w:equalWidth="0" w:num="2">
            <w:col w:w="6780" w:space="720"/>
            <w:col w:w="3740"/>
          </w:cols>
          <w:pgMar w:left="320" w:top="48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93" w:lineRule="exact"/>
        <w:rPr>
          <w:sz w:val="20"/>
          <w:szCs w:val="20"/>
          <w:color w:val="auto"/>
        </w:rPr>
      </w:pPr>
    </w:p>
    <w:p>
      <w:pPr>
        <w:spacing w:after="0"/>
        <w:rPr>
          <w:sz w:val="20"/>
          <w:szCs w:val="20"/>
          <w:color w:val="auto"/>
        </w:rPr>
      </w:pPr>
      <w:r>
        <w:rPr>
          <w:rFonts w:ascii="Arial" w:cs="Arial" w:eastAsia="Arial" w:hAnsi="Arial"/>
          <w:sz w:val="11"/>
          <w:szCs w:val="11"/>
          <w:color w:val="685040"/>
        </w:rPr>
        <w:t>BDO USA, P.C., a Virginia professional;, is the U.S. member of BDO International Limited, a UK company limited by guarantee, and forms part of the international BDO network of independent member firms.</w:t>
      </w: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KIMBERLY-CLARK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AND PROFIT SHARING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5,432,894</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4,878,053</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 and interest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contributions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Employer matching contributions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profit sharing contributions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101,488</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5,534,382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4,989,313</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payable and pending disbursements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5,533,371</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4,986,768</w:t>
            </w:r>
          </w:p>
        </w:tc>
        <w:tc>
          <w:tcPr>
            <w:tcW w:w="0" w:type="dxa"/>
            <w:vAlign w:val="bottom"/>
          </w:tcPr>
          <w:p>
            <w:pPr>
              <w:spacing w:after="0"/>
              <w:rPr>
                <w:sz w:val="1"/>
                <w:szCs w:val="1"/>
                <w:color w:val="auto"/>
              </w:rPr>
            </w:pPr>
          </w:p>
        </w:tc>
      </w:tr>
      <w:tr>
        <w:trPr>
          <w:trHeight w:val="20"/>
        </w:trPr>
        <w:tc>
          <w:tcPr>
            <w:tcW w:w="8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2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KIMBERLY-CLARK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AND PROFIT SHARING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81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Additions to Net Assets Available for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638,665</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Dividends - Kimberly-Clark Corporation stock</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 Self-Directed Brokerage Account ("SDBA")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664,821</w:t>
            </w:r>
          </w:p>
        </w:tc>
        <w:tc>
          <w:tcPr>
            <w:tcW w:w="0" w:type="dxa"/>
            <w:vAlign w:val="bottom"/>
          </w:tcPr>
          <w:p>
            <w:pPr>
              <w:spacing w:after="0"/>
              <w:rPr>
                <w:sz w:val="1"/>
                <w:szCs w:val="1"/>
                <w:color w:val="auto"/>
              </w:rPr>
            </w:pPr>
          </w:p>
        </w:tc>
      </w:tr>
      <w:tr>
        <w:trPr>
          <w:trHeight w:val="21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contributions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157,019</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Employer profit sharing contributions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63,303</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matching contributions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contributions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288,607</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0" w:type="dxa"/>
            <w:vAlign w:val="bottom"/>
          </w:tcPr>
          <w:p>
            <w:pPr>
              <w:spacing w:after="0"/>
              <w:rPr>
                <w:sz w:val="1"/>
                <w:szCs w:val="1"/>
                <w:color w:val="auto"/>
              </w:rPr>
            </w:pPr>
          </w:p>
        </w:tc>
      </w:tr>
      <w:tr>
        <w:trPr>
          <w:trHeight w:val="223"/>
        </w:trPr>
        <w:tc>
          <w:tcPr>
            <w:tcW w:w="8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Net Additions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956,199</w:t>
            </w:r>
          </w:p>
        </w:tc>
        <w:tc>
          <w:tcPr>
            <w:tcW w:w="0" w:type="dxa"/>
            <w:vAlign w:val="bottom"/>
          </w:tcPr>
          <w:p>
            <w:pPr>
              <w:spacing w:after="0"/>
              <w:rPr>
                <w:sz w:val="1"/>
                <w:szCs w:val="1"/>
                <w:color w:val="auto"/>
              </w:rPr>
            </w:pPr>
          </w:p>
        </w:tc>
      </w:tr>
      <w:tr>
        <w:trPr>
          <w:trHeight w:val="256"/>
        </w:trPr>
        <w:tc>
          <w:tcPr>
            <w:tcW w:w="8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Available for Benefits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518,360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Deductions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519,815</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436,384</w:t>
            </w:r>
          </w:p>
        </w:tc>
        <w:tc>
          <w:tcPr>
            <w:tcW w:w="0" w:type="dxa"/>
            <w:vAlign w:val="bottom"/>
          </w:tcPr>
          <w:p>
            <w:pPr>
              <w:spacing w:after="0"/>
              <w:rPr>
                <w:sz w:val="1"/>
                <w:szCs w:val="1"/>
                <w:color w:val="auto"/>
              </w:rPr>
            </w:pPr>
          </w:p>
        </w:tc>
      </w:tr>
      <w:tr>
        <w:trPr>
          <w:trHeight w:val="256"/>
        </w:trPr>
        <w:tc>
          <w:tcPr>
            <w:tcW w:w="8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4,986,768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4,550,384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4,986,768</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KIMBERLY-CLARK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AND PROFIT SHARING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Plan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brief description of the Kimberly-Clark Corporation 401(k) and Profit Sharing Plan (the "Plan") is provided for general information purposes only. Participants should refer to the Plan document for more complete information.</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financial statements represent the accounts of the Plan in conformity with accounting principles generally accepted in the United States of America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sponsored by Kimberly-Clark Corporation (the "Corporation"), was adopted effective January 1, 2010. It is a defined contribution plan covering eligible employees of the Corporation and its participating subsidiaries. The Plan is an employee stock ownership plan, as defined in Section 4975 of the Internal Revenue Code of 1986 (the "Code"). Salary, hourly non-union and hourly union (as bargained) employees of the Corporation and its participating U.S. subsidiaries (collectively, the "Employer") are eligible to participate in the Plan.</w:t>
      </w:r>
    </w:p>
    <w:p>
      <w:pPr>
        <w:spacing w:after="0" w:line="19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Board of Directors of the Corporation or its delegate may change the eligibility and other provisions of the Plan from time to time. The assets of the Plan are held with The Northern Trust Company (the "Trustee"). The named fiduciary for the Plan is the Benefits Administration Committee (the "BAC"). The recordkeeper for the Plan is Fidelity Workplace Services LLC ("Fidelity").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 eligible employee may elect to make contributions that are deducted from compensation paid by the Employer before federal income taxes are withheld ("401(k) contributions"), after-tax contributions, and Roth 401(k) contributions in any combination up to 50% in whole percentages of base salary. 401(k) contributions, after-tax contributions, and Roth 401(k) contributions in any combination up to 5% of base salary are eligible for Company Match Safe Harbor contributions ("Employer matching contributions") with the exception to hourly union participants located in Mobile Operations whose Company Match Safe Harbor contributions for a participant's pre-tax contributions, Roth 401(k) contributions or after-tax contributions remains on the first 4% of such participant's eligible earnings per pay period. Employees that are new hires or re-hires are automatically enrolled in the Plan at an 8% 401(k) contribution rate and have the option to opt out of the contribution.</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Employer matching contributions are matched 100% on the first 5% of eligible earnings with the exception to hourly union participants located in Mobile Operations whose Company Match Safe Harbor Contributions for a participant's pre-tax contributions, Roth 401(k) contributions or after-tax contributions remains on the first 4% of such participant's eligible earnings per pay period. The Employer matching contributions are not required to meet anti-discrimination requirements and testing and do not require distinction of highly compensated employees. Employer matching contributions are accounted for separately and share in the net appreciation or depreciation in fair value of investments, dividends, interest and expenses in the same manner as contributions made by a participant. All Employer matching contributions are invested according to the participants' contribution investment elections. Employer matching contributions and future earnings (losses) on that amount can be reallocated to another investment fund within the Plan. Any forfeitures in the Plan are used to offset Employer contributions.</w:t>
      </w:r>
    </w:p>
    <w:p>
      <w:pPr>
        <w:spacing w:after="0" w:line="21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Employer makes a discretionary annual profit sharing contribution for each eligible employee based on the Corporation's adjusted earnings per share performance from a range of 0% to 8% of eligible earnings. The contribution is deposited into participants' accounts as soon as administratively possible. The contributions related to the 2025 and 2024 targets were 3.8% and 4.5% of eligible earnings for each year and totaled $51.8 million and $63.3 million, respectively, and were deposited into participants' accounts within the first two months of the following year.</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Employee contributions receivable as of December 31, 2025 of $4.4 million includes 401(k) contributions receivable of $2.9 million and after-tax, Roth 401(k) receivable, collectively, of $1.5 million. The employee contributions for the year ended December 31, 2025 of $161.1 million includes 401(k) contributions of $107.0 million and after-tax, Roth 401(k), and rollover contributions, collectively, of $54.1 million.</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Employee contributions receivable as of December 31, 2024 of $4.5 million includes 401(k) contributions receivable of $2.9 million and after-tax, Roth 401(k) and rollover contributions receivable, collectively, of $1.6 million. The employee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ind w:right="460"/>
        <w:spacing w:after="0" w:line="282" w:lineRule="auto"/>
        <w:rPr>
          <w:sz w:val="20"/>
          <w:szCs w:val="20"/>
          <w:color w:val="auto"/>
        </w:rPr>
      </w:pPr>
      <w:r>
        <w:rPr>
          <w:rFonts w:ascii="Times New Roman" w:cs="Times New Roman" w:eastAsia="Times New Roman" w:hAnsi="Times New Roman"/>
          <w:sz w:val="18"/>
          <w:szCs w:val="18"/>
          <w:color w:val="auto"/>
        </w:rPr>
        <w:t>contributions for the year ended December 31, 2024 of $157.0 million includes 401(k) contributions of $111.7 million and after-tax, Roth 401(k), and rollover contributions, collectively, of $45.3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Individual accounts are maintained for each Plan participant. Each participant's account is credited with the employee's contributions, the Employer matching contributions, profit sharing contributions, and Plan earnings and losses, less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investment elections are held by the Trustee and employee contributions allocated to a specific fund are commingled with those of other participants and are invested in accordance with the nature of the specific fund. Pending such investment, the Trustee is authorized to invest in short-term securities of the United States of America or in other investments of a short-term nature. Employees can elect to have their contributions in any of the 19 fund options available. The fund options consist of Kimberly-Clark Corporation Stock Fund ("K-C Stock Fund"), two different collective funds offered by Columbia Management (formerly Ameriprise), which are the Money Market and Stable Income Fund, and 16 collective funds offered by BlackRock which include the Russell 1000 Value Index Fund F, Russell 2000 Index Fund F, Russell 1000 Growth Index Fund F, U.S. Debt Index Fund F, Russell 1000 Index Fund F, MSCI ACWI ex-U.S. IMI Index Fund F, and 10 LifePath Index Fund F funds which are the Target Conservative Fund, 2030 Fund, 2035 Fund, 2040 Fund, 2045 Fund, 2050 Fund, 2055 Fund, 2060 Fund, 2065 Fund, and 2070 Fund. The participant can also choose from a broad range of funds and certain other investments offered through a brokerage account.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are immediately vested in their 401(k), after-tax, Roth 401(k), and rollover contributions as well as Employer matching contributions and profit sharing contributions.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Loans</w:t>
      </w:r>
    </w:p>
    <w:p>
      <w:pPr>
        <w:spacing w:after="0" w:line="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fund accounts a minimum of $1 thousand up to a maximum of 50% or $50 thousand of their vested account balance, whichever is less. The loans are secured by the balance in the participant's account and bear interest at the prime +1% interest rate as published in the Wall Street Journal on the 15th of the month prior to the first day of the month to which it applies. Principal and interest is paid ratably through payroll deductions. A participant may have only one outstanding loan. A loan processing fee of $50 is charged to the participant. A loan may be a general purpose loan which must be repaid within a maximum of four years, or a primary residence loan, which must be repaid within a maximum of 10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65"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Upon termination of a participant's employment, or because of death, the value of the participant's accounts, including the value of all Employer matching and profit sharing contributions, is distributable in either a lump sum, partial amount or systematic withdrawal per the participant's request. An automatic distribution will occur within 90 days if the participant's balance is $7 thousand or less. If the balance is $1 thousand or less, the distribution will be in the form of cash. If the balance is $7 thousand or less but more than $1 thousand, the balance will automatically be rolled over into an Individual Retirement Account ("IRA") with Fidelity.</w:t>
      </w:r>
    </w:p>
    <w:p>
      <w:pPr>
        <w:spacing w:after="0" w:line="21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participant invested in the K-C Stock Fund earns dividends quarterly and has the option to reinvest the dividends earned into the fund or receive a distribution. Dividends distributed to participants during the years ended December 31, 2025 and 2024 were $1.5 million and $1.5 million, respectively, and are included in benefits paid to participants on the Statements of Changes in Net Assets Available for Benefits.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Withdrawals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employee may withdraw the value of their after-tax accounts and Employer matching contributions after being in the Plan for 24 months. Subject to certain conditions, a participant may withdraw the value of 401(k) contributions, Roth 401(k) contributions, Employer matching contributions, profit sharing, and earnings credited in the case of hardship or after attaining age 59½.</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K-C Stock Fund</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participant has the right to direct the Trustee as to the manner in which to vote at each annual meeting and special meeting of the stockholders of the Corporation the number of whole shares of the Corporation's common stock held by the Trustee and attributable to his or her K-C Stock Fund account as of the valuation date coincident with the record date for the meeting. In addition, the participant has the right to determine whether whole shares of the Corporation's common stock held by the Trustee and attributable to his or her K-C Stock Fund account should be tendered in response to offers thereof.</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K-C Stock Fund is allocated to participants using a unit value, which is calculated using the stock's year end market price plus cash held in a collective short-term investment fund.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Principles and Practices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Accounting</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for the Plan have been prepared on the accrual basis and are in accordance with the accounting principles generally accepted in the United States of America ("U.S. GAAP") for defined contribution benefit plans. The significant accounting policies employed in the preparation of the accompanying financial statements are described below.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net assets available for benefits and changes therein. Actual results could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Valuation and Income Recognition</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investments are stated at fair value. The Plan primarily invests in collective funds that have underlying investments and the fair value is determined by the Plan's proportionate share of the underlying investments and is estimated using the net asset value (the "NAV") per share. The fair value of the Corporation's common stock held by the Plan is determined as the last selling price on the last business day of the year, as published by an independent source. Security transactions are recorded on the trade date. Cash and cash equivalents include a collective short-term investment fund for pending transactions which is recorded at fair value using the NAV per share as well as certificates of deposit and other interest bearing investments that are recorded at cost, which approximates fair value. Interest income is recorded on the accrual basis. Dividends are recorded on the ex-dividend date. Net appreciation (depreciation) includes the Plan's gains and losses on investments bought and sold as well as held during the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Notes receivable from participant loans are valued at their unpaid principal balance plus any accrued but unpaid interest. Interest income is recorded on the accrual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of the Plan are paid by the Plan as provided in the Plan document.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Paid to Participants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are recorded when paid. Amounts allocated to accounts of participants who have elected to withdraw from the Plan, but have not yet been paid, were insignificant at December 31,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and Employer matching contributions are recorded in the period in which the Employer makes the payroll deductions from the participant's earnings. Employer profit sharing contributions are recognized in the year in which the compensation relates.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fair value information is based on a fair value hierarchy that prioritizes the inputs to valuation techniques used to measure fair value. The three levels in the hierarchy used to measure fair value are: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 Unadjusted quoted prices in active markets accessible at the reporting date for identical assets and liabilities.</w:t>
      </w:r>
    </w:p>
    <w:p>
      <w:pPr>
        <w:spacing w:after="0" w:line="252" w:lineRule="exact"/>
        <w:rPr>
          <w:sz w:val="20"/>
          <w:szCs w:val="20"/>
          <w:color w:val="auto"/>
        </w:rPr>
      </w:pPr>
    </w:p>
    <w:p>
      <w:pPr>
        <w:ind w:left="1140" w:hanging="728"/>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or similar assets and liabilities in markets that are not considered active or financial instruments for which all significant inputs are observable, either directly or indirectly.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 Prices or valuations that require inputs that are significant to the valuation and are unobservable.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a summary of the Plan's investments measured at fair value as of December 31, 2025 and 2024. As of December 31, 2025 and 2024, approximately 88% of the assets, are held in collective funds and are measured using NAV as a practical expedient. Accordingly, such assets do not meet the Level 1, Level 2 or Level 3 criteria of the fair value hierarchy.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Kimberly-Clark Corporation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SDBA</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441,026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4,779,382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4,779,382</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5,432,894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4,785,482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6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NAV</w:t>
            </w: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Kimberly-Clark Corporation stock</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SDBA</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collective trusts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4,244,339</w:t>
            </w:r>
          </w:p>
        </w:tc>
        <w:tc>
          <w:tcPr>
            <w:tcW w:w="0" w:type="dxa"/>
            <w:vAlign w:val="bottom"/>
          </w:tcPr>
          <w:p>
            <w:pPr>
              <w:spacing w:after="0"/>
              <w:rPr>
                <w:sz w:val="1"/>
                <w:szCs w:val="1"/>
                <w:color w:val="auto"/>
              </w:rPr>
            </w:pPr>
          </w:p>
        </w:tc>
      </w:tr>
      <w:tr>
        <w:trPr>
          <w:trHeight w:val="248"/>
        </w:trPr>
        <w:tc>
          <w:tcPr>
            <w:tcW w:w="5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4,878,053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4,249,331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there were no assets with a Level 3 fair value determination. 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The Plan's policy is to recognize significant transfers between levels at the end of the year. The significance of transfers between levels is evaluated based upon the nature of the financial instrument and size of the transfer relative to total net assets available for benefits. During the years ended December 31, 2025 and 2024, there were no significant transfers between level 1 or 2 fair value determinations.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valuation methodologies used for the Plan's investments measured at fair value. There have been no changes in the methodologies used at December 31, 2025 and 2024.</w:t>
      </w:r>
    </w:p>
    <w:p>
      <w:pPr>
        <w:spacing w:after="0" w:line="173" w:lineRule="exact"/>
        <w:rPr>
          <w:sz w:val="20"/>
          <w:szCs w:val="20"/>
          <w:color w:val="auto"/>
        </w:rPr>
      </w:pPr>
    </w:p>
    <w:p>
      <w:pPr>
        <w:jc w:val="both"/>
        <w:ind w:right="4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cash and cash equivalents include cash liquidity held in the SDBA. The valuation of the cash and cash equivalents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level 1. Cash and cash equivalents also include cash associated with the K-C Stock Fund and the clearing account which are invested in a collective short-term investment fund. The fair value of the collective short-term investment fund is based on NAV as a practical expedient.</w:t>
      </w:r>
    </w:p>
    <w:p>
      <w:pPr>
        <w:spacing w:after="0" w:line="2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Kimberly-Clark Corporation stock: </w:t>
      </w:r>
      <w:r>
        <w:rPr>
          <w:rFonts w:ascii="Times New Roman" w:cs="Times New Roman" w:eastAsia="Times New Roman" w:hAnsi="Times New Roman"/>
          <w:sz w:val="18"/>
          <w:szCs w:val="18"/>
          <w:color w:val="auto"/>
        </w:rPr>
        <w:t>The K-C Stock Fund investments are held directly by the Plan. The fair value of the Corporation's common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based on the closing unadjusted quoted price as of the end of the year.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 xml:space="preserve">SDBA: </w:t>
      </w:r>
      <w:r>
        <w:rPr>
          <w:rFonts w:ascii="Times New Roman" w:cs="Times New Roman" w:eastAsia="Times New Roman" w:hAnsi="Times New Roman"/>
          <w:sz w:val="18"/>
          <w:szCs w:val="18"/>
          <w:color w:val="auto"/>
        </w:rPr>
        <w:t>The account consists primarily of mutual funds and common stocks that are valued on the basis of readily determinable market prices.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Collective funds: </w:t>
      </w:r>
      <w:r>
        <w:rPr>
          <w:rFonts w:ascii="Times New Roman" w:cs="Times New Roman" w:eastAsia="Times New Roman" w:hAnsi="Times New Roman"/>
          <w:sz w:val="18"/>
          <w:szCs w:val="18"/>
          <w:color w:val="auto"/>
        </w:rPr>
        <w:t>Composed of a money market fund, stable income fund, fixed income fund, equity funds and multi-asset class funds.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fund is determined by multiplying the net asset value per unit by the number of units held by the Plan. The net asset value is based on the values of the underlying securities and cash held in the fund.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NAV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for December 31, 2025 and 2024, sets forth a summary of the Plan's investments with a reported NAV.</w:t>
      </w:r>
    </w:p>
    <w:p>
      <w:pPr>
        <w:spacing w:after="0" w:line="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Fair Value Estimated Using NAV per Share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80" w:type="dxa"/>
            <w:vAlign w:val="bottom"/>
            <w:vMerge w:val="restart"/>
          </w:tcPr>
          <w:p>
            <w:pPr>
              <w:ind w:left="112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12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b w:val="1"/>
                <w:bCs w:val="1"/>
                <w:color w:val="auto"/>
              </w:rPr>
              <w:t>Unfunded</w:t>
            </w:r>
          </w:p>
        </w:tc>
        <w:tc>
          <w:tcPr>
            <w:tcW w:w="10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Other Redemption</w:t>
            </w:r>
          </w:p>
        </w:tc>
        <w:tc>
          <w:tcPr>
            <w:tcW w:w="12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Redemption Notice</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6"/>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(a)</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8"/>
                <w:szCs w:val="18"/>
                <w:b w:val="1"/>
                <w:bCs w:val="1"/>
                <w:color w:val="auto"/>
                <w:vertAlign w:val="superscript"/>
              </w:rPr>
              <w:t>(a)</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36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Restrictions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Short-term investment funds </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3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7"/>
              </w:rPr>
              <w:t>None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income funds </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820,553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3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7"/>
              </w:rPr>
              <w:t>None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Multi-asset class funds </w:t>
            </w:r>
            <w:r>
              <w:rPr>
                <w:rFonts w:ascii="Times New Roman" w:cs="Times New Roman" w:eastAsia="Times New Roman" w:hAnsi="Times New Roman"/>
                <w:sz w:val="23"/>
                <w:szCs w:val="23"/>
                <w:color w:val="auto"/>
                <w:vertAlign w:val="superscript"/>
              </w:rPr>
              <w:t>(d)</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899,731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742,636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36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7"/>
              </w:rPr>
              <w:t>None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r>
        <w:trPr>
          <w:trHeight w:val="30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Equity index funds </w:t>
            </w:r>
            <w:r>
              <w:rPr>
                <w:rFonts w:ascii="Times New Roman" w:cs="Times New Roman" w:eastAsia="Times New Roman" w:hAnsi="Times New Roman"/>
                <w:sz w:val="23"/>
                <w:szCs w:val="23"/>
                <w:color w:val="auto"/>
                <w:vertAlign w:val="superscript"/>
              </w:rPr>
              <w:t>(e)</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3,059,098</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2,710,553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13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7"/>
              </w:rPr>
              <w:t>None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Daily</w:t>
            </w:r>
          </w:p>
        </w:tc>
        <w:tc>
          <w:tcPr>
            <w:tcW w:w="0" w:type="dxa"/>
            <w:vAlign w:val="bottom"/>
          </w:tcPr>
          <w:p>
            <w:pPr>
              <w:spacing w:after="0"/>
              <w:rPr>
                <w:sz w:val="1"/>
                <w:szCs w:val="1"/>
                <w:color w:val="auto"/>
              </w:rPr>
            </w:pPr>
          </w:p>
        </w:tc>
      </w:tr>
    </w:tbl>
    <w:p>
      <w:pPr>
        <w:ind w:left="420" w:hanging="250"/>
        <w:spacing w:after="0" w:line="224"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fair values of the investments have been estimated using the NAV of the investment.</w:t>
      </w:r>
    </w:p>
    <w:p>
      <w:pPr>
        <w:spacing w:after="0" w:line="68" w:lineRule="exact"/>
        <w:rPr>
          <w:rFonts w:ascii="Times New Roman" w:cs="Times New Roman" w:eastAsia="Times New Roman" w:hAnsi="Times New Roman"/>
          <w:sz w:val="23"/>
          <w:szCs w:val="23"/>
          <w:color w:val="auto"/>
          <w:vertAlign w:val="superscript"/>
        </w:rPr>
      </w:pPr>
    </w:p>
    <w:p>
      <w:pPr>
        <w:ind w:left="420" w:hanging="250"/>
        <w:spacing w:after="0" w:line="231"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investment fund strategies seek to invest in high-quality, short-term securities which are included in cash and cash equivalents.</w:t>
      </w:r>
    </w:p>
    <w:p>
      <w:pPr>
        <w:spacing w:after="0" w:line="69" w:lineRule="exact"/>
        <w:rPr>
          <w:rFonts w:ascii="Times New Roman" w:cs="Times New Roman" w:eastAsia="Times New Roman" w:hAnsi="Times New Roman"/>
          <w:sz w:val="23"/>
          <w:szCs w:val="23"/>
          <w:color w:val="auto"/>
          <w:vertAlign w:val="superscript"/>
        </w:rPr>
      </w:pPr>
    </w:p>
    <w:p>
      <w:pPr>
        <w:ind w:left="420" w:hanging="250"/>
        <w:spacing w:after="0" w:line="231"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fixed income fund strategy seeks to replicate the Barclays Bloomberg U.S. Aggregate Bond Index or provide capital preservation and income.</w:t>
      </w:r>
    </w:p>
    <w:p>
      <w:pPr>
        <w:spacing w:after="0" w:line="69" w:lineRule="exact"/>
        <w:rPr>
          <w:rFonts w:ascii="Times New Roman" w:cs="Times New Roman" w:eastAsia="Times New Roman" w:hAnsi="Times New Roman"/>
          <w:sz w:val="23"/>
          <w:szCs w:val="23"/>
          <w:color w:val="auto"/>
          <w:vertAlign w:val="superscript"/>
        </w:rPr>
      </w:pPr>
    </w:p>
    <w:p>
      <w:pPr>
        <w:ind w:left="420" w:hanging="250"/>
        <w:spacing w:after="0" w:line="231" w:lineRule="auto"/>
        <w:tabs>
          <w:tab w:leader="none" w:pos="4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Multi-asset class funds are target date funds that seek to provide a diversified asset allocation consistent with the participants' current stage of life.</w:t>
      </w:r>
    </w:p>
    <w:p>
      <w:pPr>
        <w:spacing w:after="0" w:line="90" w:lineRule="exact"/>
        <w:rPr>
          <w:rFonts w:ascii="Times New Roman" w:cs="Times New Roman" w:eastAsia="Times New Roman" w:hAnsi="Times New Roman"/>
          <w:sz w:val="23"/>
          <w:szCs w:val="23"/>
          <w:color w:val="auto"/>
          <w:vertAlign w:val="superscript"/>
        </w:rPr>
      </w:pPr>
    </w:p>
    <w:p>
      <w:pPr>
        <w:ind w:left="500" w:hanging="330"/>
        <w:spacing w:after="0" w:line="229" w:lineRule="auto"/>
        <w:tabs>
          <w:tab w:leader="none" w:pos="46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index fund strategies seek to replicate the return of an index of a specific financial market, such as the Russell 1000 Index or Russell 2000 Index.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and Party-In-Interest Transactions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December 31, 2025, the Plan held 1.2 million shares of the Corporation's common stock at a fair value of $126.0 million. During the year ended December 31, 2025, 0.2 million shares were acquired and 0.2 million shares were sold. At December 31, 2024, the Plan held 1.2 million shares of the Corporation's common stock at a fair value of $162.6 million. During the year ended December 31, 2024, 0.3 million shares were acquired and 0.4 million shares were sold. All of these transactions are exempt from the prohibitions against party-in-interest transactions under ERISA. Notes receivable are secured by the vested balance of participant accounts, and, as such, these transactions qualify as exempt party-in-interest transactions. Fees paid by the Plan for the investment management services are included in net appreciation (depreciation) in fair value of investments.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Plan Termination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intention to do so, the Corporation has the right under the Plan to discontinue its contributions at any time and to terminate the Plan subject to the provisions set forth in ERISA.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Federal Income Tax Status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Corporation in a letter dated October 18, 2017, that the Plan and the related trust were designed in accordance with the applicable requirements of the Code. The Plan satisfies the requirement of Section 401(a) of the Code and Plan management is not aware of any Plan provision that would result in disqualification. The federal income tax status of participants with respect to the Plan is as follows: A participant's after-tax and Roth contributions, in whatever form, are not tax-deductible by the participant; however, the portion of a distribution attributable to such contributions is not taxable upon distribution. Participant pre-tax 401(k) contributions are considered contributions by the Employer rather than the participant and, as a result, are not taxable until the year in which they are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distributed. Employer contributions and the earnings on employer and participant contributions are generally not taxable to the participant until the year in which they are distributed.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Changes to the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or 2024, the Plan was not amended.</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January 1, 2026 the Plan was amended as follows:- (1) Add a two year vesting schedule for Eligible Employees hired on or after January 1,2026, which applies to the Company Match and Profit Sharing Contributions; (2) Adopt of a Qualified Automatic Contribution Arrangement (QACA) safe harbor design which auto enrolls new hires at an 8% deferral rate and increases their contribution rate by 1% each December up to a maximum of 15%; (3) Add Elapsed Time Method for crediting of service, replacing the actual method; (4) Add Mobile Hourly Union Employees will receive Company Matching Contributions of 100% on the first 5% of eligible earnings contributed; (5) Add mandatory Roth catch-up contributions required for participants age 50+ with prior year FICA wages exceeding $150,000 (subject to IRS adjustments); (6) Add enhanced catch-up contribution limits for participants ages 60–63;</w:t>
      </w:r>
    </w:p>
    <w:p>
      <w:pPr>
        <w:spacing w:after="0" w:line="5" w:lineRule="exact"/>
        <w:rPr>
          <w:sz w:val="20"/>
          <w:szCs w:val="20"/>
          <w:color w:val="auto"/>
        </w:rPr>
      </w:pPr>
    </w:p>
    <w:p>
      <w:pPr>
        <w:ind w:right="26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dividends from the K-C Stock Fund will not immediately vest. Dividends will follow the two year vesting schedule; and (8) Amend and restate administrative provisions to implement the new safe harbor design and other design elements articulated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Reconciliation of Financial Statements to Form 5500</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Benefit payments requested by participants are recorded on the Form 5500 for benefit payments that have been processed and approved for payment prior to year end, but not yet paid as of that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benefits paid to Plan participants per the financial statements for the year ended December 31, 2025, to Form 5500:</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40" w:type="dxa"/>
            <w:vAlign w:val="bottom"/>
          </w:tcPr>
          <w:p>
            <w:pPr>
              <w:jc w:val="center"/>
              <w:ind w:right="4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center"/>
              <w:ind w:right="47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78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shd w:val="clear" w:color="auto" w:fill="CCEEFF"/>
          </w:tcPr>
          <w:p>
            <w:pPr>
              <w:jc w:val="center"/>
              <w:ind w:right="458"/>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per the financial statements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474,969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Benefit payments requested by participants at December 31, 2025</w:t>
            </w:r>
          </w:p>
        </w:tc>
        <w:tc>
          <w:tcPr>
            <w:tcW w:w="5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Benefit payments requested by participants at December 31, 2024</w:t>
            </w:r>
          </w:p>
        </w:tc>
        <w:tc>
          <w:tcPr>
            <w:tcW w:w="5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 for Form 5500</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assets available for benefits per the financial statements at December 31, 2025 and 2024 to Form 5500:</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6"/>
        </w:trPr>
        <w:tc>
          <w:tcPr>
            <w:tcW w:w="77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 of dollars)</w:t>
            </w:r>
          </w:p>
        </w:tc>
        <w:tc>
          <w:tcPr>
            <w:tcW w:w="980" w:type="dxa"/>
            <w:vAlign w:val="bottom"/>
            <w:tcBorders>
              <w:bottom w:val="single" w:sz="8" w:color="auto"/>
            </w:tcBorders>
          </w:tcPr>
          <w:p>
            <w:pPr>
              <w:spacing w:after="0"/>
              <w:rPr>
                <w:sz w:val="17"/>
                <w:szCs w:val="17"/>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5,533,371</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4,986,768</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Deemed distributions from outstanding participant loans with no repayment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Benefit payments requested by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5,532,049</w:t>
            </w:r>
          </w:p>
        </w:tc>
        <w:tc>
          <w:tcPr>
            <w:tcW w:w="14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4,985,592</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is a reconciliation of expenses per the financial statements for the year ended December 31, 2025 to Form 5500:</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40" w:type="dxa"/>
            <w:vAlign w:val="bottom"/>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8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1"/>
        </w:trPr>
        <w:tc>
          <w:tcPr>
            <w:tcW w:w="78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840" w:type="dxa"/>
            <w:vAlign w:val="bottom"/>
            <w:tcBorders>
              <w:bottom w:val="single" w:sz="8" w:color="auto"/>
            </w:tcBorders>
            <w:shd w:val="clear" w:color="auto" w:fill="CCEEFF"/>
          </w:tcPr>
          <w:p>
            <w:pPr>
              <w:jc w:val="center"/>
              <w:ind w:right="456"/>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deductions per the financial statements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476,489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Deemed distribution on outstanding participant loans at December 31, 2025</w:t>
            </w:r>
          </w:p>
        </w:tc>
        <w:tc>
          <w:tcPr>
            <w:tcW w:w="5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Deemed distribution on outstanding participant loans at December 31, 2024</w:t>
            </w:r>
          </w:p>
        </w:tc>
        <w:tc>
          <w:tcPr>
            <w:tcW w:w="5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Benefit payments requested by participants at December 31, 2025</w:t>
            </w:r>
          </w:p>
        </w:tc>
        <w:tc>
          <w:tcPr>
            <w:tcW w:w="5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Benefit payments requested by participants at December 31, 2024</w:t>
            </w:r>
          </w:p>
        </w:tc>
        <w:tc>
          <w:tcPr>
            <w:tcW w:w="5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 per Form 5500</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476,635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Risks and Uncertainties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Plan assets are invested in funds and securities as directed by Plan participants. These investment securities, in general, are exposed to various risks, such as interest rate, credit, and overall market volatility. Accordingly, it is reasonably possible that changes in the values of investment securities will occur in the near term and that such changes could materially affect the amounts reported in the Statements of Net Assets Available for Benefits.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has evaluated subsequent events through June 23, 2026, the date the financial statements were available to be issued, and there are none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1680" w:right="1679"/>
        <w:spacing w:after="0" w:line="261" w:lineRule="auto"/>
        <w:rPr>
          <w:sz w:val="20"/>
          <w:szCs w:val="20"/>
          <w:color w:val="auto"/>
        </w:rPr>
      </w:pPr>
      <w:r>
        <w:rPr>
          <w:rFonts w:ascii="Times New Roman" w:cs="Times New Roman" w:eastAsia="Times New Roman" w:hAnsi="Times New Roman"/>
          <w:sz w:val="18"/>
          <w:szCs w:val="18"/>
          <w:color w:val="auto"/>
        </w:rPr>
        <w:t>SUPPLEMENTAL INFORMATION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KIMBERLY-CLARK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AND PROFIT SHARING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H, PART IV, 4i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ASSETS (HELD AT END OF YEAR)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SPONSOR'S EIN: 39-0394230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NAME/NUMBER: Kimberly-Clark Corporation 401(K) and Profit Sharing Plan / 016</w:t>
      </w: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30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Identity of Investment Issuer</w:t>
            </w:r>
          </w:p>
        </w:tc>
        <w:tc>
          <w:tcPr>
            <w:tcW w:w="5540" w:type="dxa"/>
            <w:vAlign w:val="bottom"/>
          </w:tcPr>
          <w:p>
            <w:pPr>
              <w:ind w:left="1980"/>
              <w:spacing w:after="0"/>
              <w:rPr>
                <w:sz w:val="20"/>
                <w:szCs w:val="20"/>
                <w:color w:val="auto"/>
              </w:rPr>
            </w:pPr>
            <w:r>
              <w:rPr>
                <w:rFonts w:ascii="Times New Roman" w:cs="Times New Roman" w:eastAsia="Times New Roman" w:hAnsi="Times New Roman"/>
                <w:sz w:val="14"/>
                <w:szCs w:val="14"/>
                <w:b w:val="1"/>
                <w:bCs w:val="1"/>
                <w:color w:val="auto"/>
              </w:rPr>
              <w:t>Description of Investment</w:t>
            </w:r>
          </w:p>
        </w:tc>
      </w:tr>
      <w:tr>
        <w:trPr>
          <w:trHeight w:val="23"/>
        </w:trPr>
        <w:tc>
          <w:tcPr>
            <w:tcW w:w="2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42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The Northern Trust </w:t>
            </w:r>
            <w:r>
              <w:rPr>
                <w:rFonts w:ascii="Times New Roman" w:cs="Times New Roman" w:eastAsia="Times New Roman" w:hAnsi="Times New Roman"/>
                <w:sz w:val="23"/>
                <w:szCs w:val="23"/>
                <w:color w:val="auto"/>
                <w:vertAlign w:val="superscript"/>
              </w:rPr>
              <w:t>(1)</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Fund:</w:t>
            </w:r>
          </w:p>
        </w:tc>
      </w:t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Collective Government Short-Term Investment Fund</w:t>
            </w:r>
          </w:p>
        </w:tc>
      </w:tr>
      <w:tr>
        <w:trPr>
          <w:trHeight w:val="72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Columbia Management</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Funds:</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 Money Market Fund Z</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 Stable Government Fund Z</w:t>
            </w:r>
          </w:p>
        </w:tc>
      </w:t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 Stable Income Fund Z</w:t>
            </w:r>
          </w:p>
        </w:tc>
      </w:tr>
      <w:tr>
        <w:trPr>
          <w:trHeight w:val="72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Collective Funds:</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Debt Index Fund F</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Russell 1000 Index Fund F</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Russell 1000 Value Index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Russell 1000 Growth Index Fund F</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Russell 2000 Index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MSCI ACWI ex-U.S. IMI Index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Target Conservative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2030 Fund F</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2035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2040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2045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2050 Fund F</w:t>
            </w:r>
          </w:p>
        </w:tc>
      </w:tr>
      <w:tr>
        <w:trPr>
          <w:trHeight w:val="229"/>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2055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2060 Fund F</w:t>
            </w:r>
          </w:p>
        </w:tc>
      </w:tr>
      <w:tr>
        <w:trPr>
          <w:trHeight w:val="230"/>
        </w:trPr>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2065 Fund F</w:t>
            </w:r>
          </w:p>
        </w:tc>
      </w:t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LifePath Index 2070 Fund F</w:t>
            </w:r>
          </w:p>
        </w:tc>
      </w:tr>
      <w:tr>
        <w:trPr>
          <w:trHeight w:val="79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K-C </w:t>
            </w:r>
            <w:r>
              <w:rPr>
                <w:rFonts w:ascii="Times New Roman" w:cs="Times New Roman" w:eastAsia="Times New Roman" w:hAnsi="Times New Roman"/>
                <w:sz w:val="23"/>
                <w:szCs w:val="23"/>
                <w:color w:val="auto"/>
                <w:vertAlign w:val="superscript"/>
              </w:rPr>
              <w:t>(1)</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Kimberly-Clark Corporation Common Stock</w:t>
            </w:r>
          </w:p>
        </w:tc>
      </w:tr>
      <w:tr>
        <w:trPr>
          <w:trHeight w:val="48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Fidelity </w:t>
            </w:r>
            <w:r>
              <w:rPr>
                <w:rFonts w:ascii="Times New Roman" w:cs="Times New Roman" w:eastAsia="Times New Roman" w:hAnsi="Times New Roman"/>
                <w:sz w:val="23"/>
                <w:szCs w:val="23"/>
                <w:color w:val="auto"/>
                <w:vertAlign w:val="superscript"/>
              </w:rPr>
              <w:t>(1)</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Self-Directed Brokerage Account</w:t>
            </w:r>
          </w:p>
        </w:tc>
      </w:tr>
      <w:tr>
        <w:trPr>
          <w:trHeight w:val="36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The Northern Trust </w:t>
            </w:r>
            <w:r>
              <w:rPr>
                <w:rFonts w:ascii="Times New Roman" w:cs="Times New Roman" w:eastAsia="Times New Roman" w:hAnsi="Times New Roman"/>
                <w:sz w:val="23"/>
                <w:szCs w:val="23"/>
                <w:color w:val="auto"/>
                <w:vertAlign w:val="superscript"/>
              </w:rPr>
              <w:t>(1)</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 rate of interest (4.25% - 9.5%) maturity</w:t>
            </w:r>
          </w:p>
        </w:tc>
      </w:tr>
      <w:tr>
        <w:trPr>
          <w:trHeight w:val="234"/>
        </w:trPr>
        <w:tc>
          <w:tcPr>
            <w:tcW w:w="2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dates (January 2026 - December 2035)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-5180330</wp:posOffset>
            </wp:positionV>
            <wp:extent cx="689229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-4888865</wp:posOffset>
            </wp:positionV>
            <wp:extent cx="689229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92290" cy="15430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-4571365</wp:posOffset>
            </wp:positionV>
            <wp:extent cx="689229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-4279900</wp:posOffset>
            </wp:positionV>
            <wp:extent cx="689229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-3671570</wp:posOffset>
            </wp:positionV>
            <wp:extent cx="689229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-3380105</wp:posOffset>
            </wp:positionV>
            <wp:extent cx="689229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-3088640</wp:posOffset>
            </wp:positionV>
            <wp:extent cx="689229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-2797175</wp:posOffset>
            </wp:positionV>
            <wp:extent cx="689229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-2505710</wp:posOffset>
            </wp:positionV>
            <wp:extent cx="689229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-2214245</wp:posOffset>
            </wp:positionV>
            <wp:extent cx="689229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-1922780</wp:posOffset>
            </wp:positionV>
            <wp:extent cx="689229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-1631315</wp:posOffset>
            </wp:positionV>
            <wp:extent cx="689229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92290" cy="1460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-1339850</wp:posOffset>
            </wp:positionV>
            <wp:extent cx="689229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92290" cy="14541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-730885</wp:posOffset>
            </wp:positionV>
            <wp:extent cx="689229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9229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-422275</wp:posOffset>
            </wp:positionV>
            <wp:extent cx="689229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92290" cy="16319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5715</wp:posOffset>
            </wp:positionV>
            <wp:extent cx="689229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92290" cy="17145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-1039495</wp:posOffset>
            </wp:positionV>
            <wp:extent cx="689229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92290" cy="16256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-3988435</wp:posOffset>
            </wp:positionV>
            <wp:extent cx="689229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92290" cy="154305"/>
                    </a:xfrm>
                    <a:prstGeom prst="rect">
                      <a:avLst/>
                    </a:prstGeom>
                    <a:noFill/>
                  </pic:spPr>
                </pic:pic>
              </a:graphicData>
            </a:graphic>
          </wp:anchor>
        </w:drawing>
      </w:r>
    </w:p>
    <w:p>
      <w:pPr>
        <w:spacing w:after="0" w:line="29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Investments</w:t>
      </w:r>
    </w:p>
    <w:p>
      <w:pPr>
        <w:spacing w:after="0" w:line="144" w:lineRule="exact"/>
        <w:rPr>
          <w:sz w:val="20"/>
          <w:szCs w:val="20"/>
          <w:color w:val="auto"/>
        </w:rPr>
      </w:pPr>
    </w:p>
    <w:p>
      <w:pPr>
        <w:ind w:left="340" w:right="3780" w:hanging="170"/>
        <w:spacing w:after="0" w:line="241" w:lineRule="auto"/>
        <w:tabs>
          <w:tab w:leader="none" w:pos="359"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Sponsor and/or issuer known to be a party-in-interest to the Plan. Cost is not presented as all investments are participant directed.</w:t>
      </w:r>
    </w:p>
    <w:p>
      <w:pPr>
        <w:ind w:left="3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8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5"/>
        </w:trPr>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(Thousands of dollars)</w:t>
            </w:r>
          </w:p>
        </w:tc>
      </w:tr>
      <w:tr>
        <w:trPr>
          <w:trHeight w:val="445"/>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6,100</w:t>
            </w:r>
          </w:p>
        </w:tc>
      </w:tr>
      <w:tr>
        <w:trPr>
          <w:trHeight w:val="223"/>
        </w:trPr>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6,100</w:t>
            </w:r>
          </w:p>
        </w:tc>
      </w:tr>
    </w:tbl>
    <w:p>
      <w:pPr>
        <w:spacing w:after="0" w:line="200" w:lineRule="exact"/>
        <w:rPr>
          <w:sz w:val="20"/>
          <w:szCs w:val="20"/>
          <w:color w:val="auto"/>
        </w:rPr>
      </w:pPr>
    </w:p>
    <w:p>
      <w:pPr>
        <w:spacing w:after="0" w:line="268"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122,285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53,907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142,208</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318,400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3284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502,153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815,804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486,483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910,396</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207,673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638,742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135,902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80,433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184,192</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98,184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154,997</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92,204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90,863</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44,445</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17,230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3284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4,460,982</w:t>
      </w:r>
    </w:p>
    <w:p>
      <w:pPr>
        <w:spacing w:after="0" w:line="27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125,975</w:t>
      </w:r>
    </w:p>
    <w:p>
      <w:pPr>
        <w:spacing w:after="0" w:line="279"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521,437</w:t>
      </w:r>
    </w:p>
    <w:p>
      <w:pPr>
        <w:spacing w:after="0" w:line="200" w:lineRule="exact"/>
        <w:rPr>
          <w:sz w:val="20"/>
          <w:szCs w:val="20"/>
          <w:color w:val="auto"/>
        </w:rPr>
      </w:pPr>
    </w:p>
    <w:p>
      <w:pPr>
        <w:spacing w:after="0" w:line="26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39,018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188595</wp:posOffset>
            </wp:positionV>
            <wp:extent cx="13284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6" w:lineRule="exact"/>
        <w:rPr>
          <w:sz w:val="20"/>
          <w:szCs w:val="20"/>
          <w:color w:val="auto"/>
        </w:rPr>
      </w:pPr>
    </w:p>
    <w:p>
      <w:pPr>
        <w:ind w:left="1300" w:hanging="128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5,471,912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3284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284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13284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sectPr>
      <w:pgSz w:w="11900" w:h="16838" w:orient="portrait"/>
      <w:cols w:equalWidth="0" w:num="2">
        <w:col w:w="8820" w:space="140"/>
        <w:col w:w="2100"/>
      </w:cols>
      <w:pgMar w:left="320" w:top="88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7"/>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2026-06-23T10:09:09Z</dcterms:created>
  <dcterms:modified xsi:type="dcterms:W3CDTF">2026-06-23T10:09:09Z</dcterms:modified>
</cp:coreProperties>
</file>